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6B6C3" w14:textId="77777777" w:rsidR="00830F7F" w:rsidRPr="00A336DB" w:rsidRDefault="00830F7F" w:rsidP="00B84F20">
      <w:pPr>
        <w:rPr>
          <w:rFonts w:ascii="Times New Roman" w:hAnsi="Times New Roman" w:cs="Times New Roman"/>
        </w:rPr>
      </w:pPr>
      <w:bookmarkStart w:id="0" w:name="_GoBack"/>
      <w:bookmarkEnd w:id="0"/>
    </w:p>
    <w:p w14:paraId="306E965B" w14:textId="3655B783" w:rsidR="00830F7F" w:rsidRPr="00104026" w:rsidRDefault="00830F7F" w:rsidP="00830F7F">
      <w:pPr>
        <w:jc w:val="center"/>
        <w:rPr>
          <w:rFonts w:ascii="Times New Roman" w:eastAsia="Times New Roman" w:hAnsi="Times New Roman" w:cs="Times New Roman"/>
          <w:b/>
          <w:bCs/>
          <w:color w:val="201F1E"/>
          <w:sz w:val="28"/>
          <w:szCs w:val="28"/>
          <w:shd w:val="clear" w:color="auto" w:fill="FFFFFF"/>
        </w:rPr>
      </w:pPr>
      <w:r w:rsidRPr="00104026">
        <w:rPr>
          <w:rFonts w:ascii="Times New Roman" w:eastAsia="Times New Roman" w:hAnsi="Times New Roman" w:cs="Times New Roman"/>
          <w:b/>
          <w:bCs/>
          <w:color w:val="201F1E"/>
          <w:sz w:val="28"/>
          <w:szCs w:val="28"/>
          <w:shd w:val="clear" w:color="auto" w:fill="FFFFFF"/>
        </w:rPr>
        <w:t xml:space="preserve">U.S. Senate </w:t>
      </w:r>
      <w:r w:rsidR="00EB3578" w:rsidRPr="00104026">
        <w:rPr>
          <w:rFonts w:ascii="Times New Roman" w:eastAsia="Times New Roman" w:hAnsi="Times New Roman" w:cs="Times New Roman"/>
          <w:b/>
          <w:bCs/>
          <w:color w:val="201F1E"/>
          <w:sz w:val="28"/>
          <w:szCs w:val="28"/>
          <w:shd w:val="clear" w:color="auto" w:fill="FFFFFF"/>
        </w:rPr>
        <w:t>Committee on Energy and Natural Resources</w:t>
      </w:r>
      <w:r w:rsidRPr="00104026">
        <w:rPr>
          <w:rFonts w:ascii="Times New Roman" w:eastAsia="Times New Roman" w:hAnsi="Times New Roman" w:cs="Times New Roman"/>
          <w:b/>
          <w:bCs/>
          <w:color w:val="201F1E"/>
          <w:sz w:val="28"/>
          <w:szCs w:val="28"/>
          <w:shd w:val="clear" w:color="auto" w:fill="FFFFFF"/>
        </w:rPr>
        <w:t xml:space="preserve"> Hearing</w:t>
      </w:r>
    </w:p>
    <w:p w14:paraId="77A2D3E8" w14:textId="77777777" w:rsidR="00830F7F" w:rsidRPr="00104026" w:rsidRDefault="00830F7F" w:rsidP="00830F7F">
      <w:pPr>
        <w:jc w:val="center"/>
        <w:rPr>
          <w:rFonts w:ascii="Times New Roman" w:eastAsia="Times New Roman" w:hAnsi="Times New Roman" w:cs="Times New Roman"/>
          <w:b/>
          <w:bCs/>
          <w:color w:val="201F1E"/>
          <w:sz w:val="28"/>
          <w:szCs w:val="28"/>
          <w:shd w:val="clear" w:color="auto" w:fill="FFFFFF"/>
        </w:rPr>
      </w:pPr>
    </w:p>
    <w:p w14:paraId="3038A8AD" w14:textId="2E013D33" w:rsidR="00830F7F" w:rsidRPr="00104026" w:rsidRDefault="00830F7F" w:rsidP="00830F7F">
      <w:pPr>
        <w:jc w:val="center"/>
        <w:rPr>
          <w:rFonts w:ascii="Times New Roman" w:eastAsia="Times New Roman" w:hAnsi="Times New Roman" w:cs="Times New Roman"/>
          <w:b/>
          <w:bCs/>
          <w:color w:val="201F1E"/>
          <w:sz w:val="28"/>
          <w:szCs w:val="28"/>
          <w:shd w:val="clear" w:color="auto" w:fill="FFFFFF"/>
        </w:rPr>
      </w:pPr>
      <w:r w:rsidRPr="00104026">
        <w:rPr>
          <w:rFonts w:ascii="Times New Roman" w:eastAsia="Times New Roman" w:hAnsi="Times New Roman" w:cs="Times New Roman"/>
          <w:b/>
          <w:bCs/>
          <w:color w:val="201F1E"/>
          <w:sz w:val="28"/>
          <w:szCs w:val="28"/>
          <w:shd w:val="clear" w:color="auto" w:fill="FFFFFF"/>
        </w:rPr>
        <w:t xml:space="preserve">Thursday, </w:t>
      </w:r>
      <w:r w:rsidR="00EB3578" w:rsidRPr="00104026">
        <w:rPr>
          <w:rFonts w:ascii="Times New Roman" w:eastAsia="Times New Roman" w:hAnsi="Times New Roman" w:cs="Times New Roman"/>
          <w:b/>
          <w:bCs/>
          <w:color w:val="201F1E"/>
          <w:sz w:val="28"/>
          <w:szCs w:val="28"/>
          <w:shd w:val="clear" w:color="auto" w:fill="FFFFFF"/>
        </w:rPr>
        <w:t>April 7</w:t>
      </w:r>
      <w:r w:rsidRPr="00104026">
        <w:rPr>
          <w:rFonts w:ascii="Times New Roman" w:eastAsia="Times New Roman" w:hAnsi="Times New Roman" w:cs="Times New Roman"/>
          <w:b/>
          <w:bCs/>
          <w:color w:val="201F1E"/>
          <w:sz w:val="28"/>
          <w:szCs w:val="28"/>
          <w:shd w:val="clear" w:color="auto" w:fill="FFFFFF"/>
        </w:rPr>
        <w:t>, 2022</w:t>
      </w:r>
    </w:p>
    <w:p w14:paraId="6E4256B8" w14:textId="072A0369" w:rsidR="00830F7F" w:rsidRPr="00104026" w:rsidRDefault="00EB3578" w:rsidP="00830F7F">
      <w:pPr>
        <w:jc w:val="center"/>
        <w:rPr>
          <w:rFonts w:ascii="Times New Roman" w:eastAsia="Times New Roman" w:hAnsi="Times New Roman" w:cs="Times New Roman"/>
          <w:b/>
          <w:bCs/>
          <w:sz w:val="28"/>
          <w:szCs w:val="28"/>
        </w:rPr>
      </w:pPr>
      <w:r w:rsidRPr="00104026">
        <w:rPr>
          <w:rFonts w:ascii="Times New Roman" w:eastAsia="Times New Roman" w:hAnsi="Times New Roman" w:cs="Times New Roman"/>
          <w:b/>
          <w:bCs/>
          <w:color w:val="201F1E"/>
          <w:sz w:val="28"/>
          <w:szCs w:val="28"/>
          <w:shd w:val="clear" w:color="auto" w:fill="FFFFFF"/>
        </w:rPr>
        <w:t>Dirksen</w:t>
      </w:r>
      <w:r w:rsidR="00830F7F" w:rsidRPr="00104026">
        <w:rPr>
          <w:rFonts w:ascii="Times New Roman" w:eastAsia="Times New Roman" w:hAnsi="Times New Roman" w:cs="Times New Roman"/>
          <w:b/>
          <w:bCs/>
          <w:color w:val="201F1E"/>
          <w:sz w:val="28"/>
          <w:szCs w:val="28"/>
          <w:shd w:val="clear" w:color="auto" w:fill="FFFFFF"/>
        </w:rPr>
        <w:t xml:space="preserve"> Senate Office Building</w:t>
      </w:r>
      <w:r w:rsidRPr="00104026">
        <w:rPr>
          <w:rFonts w:ascii="Times New Roman" w:eastAsia="Times New Roman" w:hAnsi="Times New Roman" w:cs="Times New Roman"/>
          <w:b/>
          <w:bCs/>
          <w:color w:val="201F1E"/>
          <w:sz w:val="28"/>
          <w:szCs w:val="28"/>
          <w:shd w:val="clear" w:color="auto" w:fill="FFFFFF"/>
        </w:rPr>
        <w:t>, Room 366</w:t>
      </w:r>
    </w:p>
    <w:p w14:paraId="39E35CBA" w14:textId="77777777" w:rsidR="00830F7F" w:rsidRPr="00104026" w:rsidRDefault="00830F7F" w:rsidP="00B84F20">
      <w:pPr>
        <w:rPr>
          <w:rFonts w:ascii="Times New Roman" w:hAnsi="Times New Roman" w:cs="Times New Roman"/>
          <w:sz w:val="28"/>
          <w:szCs w:val="28"/>
        </w:rPr>
      </w:pPr>
    </w:p>
    <w:p w14:paraId="755A2F7F" w14:textId="77777777" w:rsidR="00830F7F" w:rsidRPr="00104026" w:rsidRDefault="00830F7F" w:rsidP="00B84F20">
      <w:pPr>
        <w:rPr>
          <w:rFonts w:ascii="Times New Roman" w:hAnsi="Times New Roman" w:cs="Times New Roman"/>
          <w:sz w:val="28"/>
          <w:szCs w:val="28"/>
        </w:rPr>
      </w:pPr>
    </w:p>
    <w:p w14:paraId="2D8A759F" w14:textId="62FC2C0F" w:rsidR="00830F7F" w:rsidRPr="00104026" w:rsidRDefault="00EB3578" w:rsidP="00830F7F">
      <w:pPr>
        <w:jc w:val="center"/>
        <w:rPr>
          <w:rFonts w:ascii="Times New Roman" w:hAnsi="Times New Roman" w:cs="Times New Roman"/>
          <w:b/>
          <w:bCs/>
          <w:sz w:val="28"/>
          <w:szCs w:val="28"/>
        </w:rPr>
      </w:pPr>
      <w:r w:rsidRPr="00104026">
        <w:rPr>
          <w:rFonts w:ascii="Times New Roman" w:hAnsi="Times New Roman" w:cs="Times New Roman"/>
          <w:b/>
          <w:bCs/>
          <w:sz w:val="28"/>
          <w:szCs w:val="28"/>
        </w:rPr>
        <w:t>The coming crunch: exponential demand growth for critical minerals</w:t>
      </w:r>
    </w:p>
    <w:p w14:paraId="4C333629" w14:textId="6645B71A" w:rsidR="00830F7F" w:rsidRPr="00A336DB" w:rsidRDefault="00830F7F" w:rsidP="00830F7F">
      <w:pPr>
        <w:jc w:val="center"/>
        <w:rPr>
          <w:rFonts w:ascii="Times New Roman" w:hAnsi="Times New Roman" w:cs="Times New Roman"/>
        </w:rPr>
      </w:pPr>
      <w:r w:rsidRPr="00A336DB">
        <w:rPr>
          <w:rFonts w:ascii="Times New Roman" w:hAnsi="Times New Roman" w:cs="Times New Roman"/>
        </w:rPr>
        <w:t>Duncan Wood, PhD</w:t>
      </w:r>
    </w:p>
    <w:p w14:paraId="1B8E4AD9" w14:textId="0937178F" w:rsidR="00830F7F" w:rsidRPr="00A336DB" w:rsidRDefault="00830F7F" w:rsidP="00830F7F">
      <w:pPr>
        <w:jc w:val="center"/>
        <w:rPr>
          <w:rFonts w:ascii="Times New Roman" w:hAnsi="Times New Roman" w:cs="Times New Roman"/>
        </w:rPr>
      </w:pPr>
      <w:r w:rsidRPr="00A336DB">
        <w:rPr>
          <w:rFonts w:ascii="Times New Roman" w:hAnsi="Times New Roman" w:cs="Times New Roman"/>
        </w:rPr>
        <w:t>Vice President for Strategy &amp; New Initiatives</w:t>
      </w:r>
    </w:p>
    <w:p w14:paraId="218F6F8A" w14:textId="6F4AF04A" w:rsidR="00830F7F" w:rsidRPr="00A336DB" w:rsidRDefault="00830F7F" w:rsidP="00830F7F">
      <w:pPr>
        <w:jc w:val="center"/>
        <w:rPr>
          <w:rFonts w:ascii="Times New Roman" w:hAnsi="Times New Roman" w:cs="Times New Roman"/>
        </w:rPr>
      </w:pPr>
      <w:r w:rsidRPr="00A336DB">
        <w:rPr>
          <w:rFonts w:ascii="Times New Roman" w:hAnsi="Times New Roman" w:cs="Times New Roman"/>
        </w:rPr>
        <w:t>Woodrow Wilson International Center for Scholars</w:t>
      </w:r>
    </w:p>
    <w:p w14:paraId="75702370" w14:textId="77777777" w:rsidR="00830F7F" w:rsidRPr="00A336DB" w:rsidRDefault="00830F7F" w:rsidP="00B84F20">
      <w:pPr>
        <w:rPr>
          <w:rFonts w:ascii="Times New Roman" w:hAnsi="Times New Roman" w:cs="Times New Roman"/>
        </w:rPr>
      </w:pPr>
    </w:p>
    <w:p w14:paraId="7151CB59" w14:textId="10735153" w:rsidR="001A7489" w:rsidRPr="00A336DB" w:rsidRDefault="001A7489" w:rsidP="00B84F20">
      <w:pPr>
        <w:rPr>
          <w:rFonts w:ascii="Times New Roman" w:hAnsi="Times New Roman" w:cs="Times New Roman"/>
        </w:rPr>
      </w:pPr>
      <w:r w:rsidRPr="00A336DB">
        <w:rPr>
          <w:rFonts w:ascii="Times New Roman" w:hAnsi="Times New Roman" w:cs="Times New Roman"/>
        </w:rPr>
        <w:t xml:space="preserve">Chairman </w:t>
      </w:r>
      <w:r w:rsidR="00EB3578" w:rsidRPr="00A336DB">
        <w:rPr>
          <w:rFonts w:ascii="Times New Roman" w:hAnsi="Times New Roman" w:cs="Times New Roman"/>
        </w:rPr>
        <w:t>Manchin</w:t>
      </w:r>
      <w:r w:rsidRPr="00A336DB">
        <w:rPr>
          <w:rFonts w:ascii="Times New Roman" w:hAnsi="Times New Roman" w:cs="Times New Roman"/>
        </w:rPr>
        <w:t xml:space="preserve">, Ranking Member </w:t>
      </w:r>
      <w:proofErr w:type="spellStart"/>
      <w:r w:rsidR="00EB3578" w:rsidRPr="00A336DB">
        <w:rPr>
          <w:rFonts w:ascii="Times New Roman" w:hAnsi="Times New Roman" w:cs="Times New Roman"/>
        </w:rPr>
        <w:t>Barras</w:t>
      </w:r>
      <w:r w:rsidR="0011669F">
        <w:rPr>
          <w:rFonts w:ascii="Times New Roman" w:hAnsi="Times New Roman" w:cs="Times New Roman"/>
        </w:rPr>
        <w:t>s</w:t>
      </w:r>
      <w:r w:rsidR="00EB3578" w:rsidRPr="00A336DB">
        <w:rPr>
          <w:rFonts w:ascii="Times New Roman" w:hAnsi="Times New Roman" w:cs="Times New Roman"/>
        </w:rPr>
        <w:t>o</w:t>
      </w:r>
      <w:proofErr w:type="spellEnd"/>
      <w:r w:rsidRPr="00A336DB">
        <w:rPr>
          <w:rFonts w:ascii="Times New Roman" w:hAnsi="Times New Roman" w:cs="Times New Roman"/>
        </w:rPr>
        <w:t>, Distinguished</w:t>
      </w:r>
      <w:r w:rsidR="00830F7F" w:rsidRPr="00A336DB">
        <w:rPr>
          <w:rFonts w:ascii="Times New Roman" w:hAnsi="Times New Roman" w:cs="Times New Roman"/>
        </w:rPr>
        <w:t xml:space="preserve"> Committee members, </w:t>
      </w:r>
    </w:p>
    <w:p w14:paraId="2C2C6A5A" w14:textId="77777777" w:rsidR="001A7489" w:rsidRPr="00A336DB" w:rsidRDefault="001A7489" w:rsidP="00B84F20">
      <w:pPr>
        <w:rPr>
          <w:rFonts w:ascii="Times New Roman" w:hAnsi="Times New Roman" w:cs="Times New Roman"/>
        </w:rPr>
      </w:pPr>
    </w:p>
    <w:p w14:paraId="131F3F34" w14:textId="2455F6BA" w:rsidR="00830F7F" w:rsidRPr="00A336DB" w:rsidRDefault="00830F7F" w:rsidP="00B84F20">
      <w:pPr>
        <w:rPr>
          <w:rFonts w:ascii="Times New Roman" w:hAnsi="Times New Roman" w:cs="Times New Roman"/>
        </w:rPr>
      </w:pPr>
      <w:r w:rsidRPr="00A336DB">
        <w:rPr>
          <w:rFonts w:ascii="Times New Roman" w:hAnsi="Times New Roman" w:cs="Times New Roman"/>
        </w:rPr>
        <w:t xml:space="preserve">I am grateful for the invitation to speak before you today and I look forward to engaging with you on these issues of vital importance </w:t>
      </w:r>
      <w:r w:rsidR="00DC72AC" w:rsidRPr="00A336DB">
        <w:rPr>
          <w:rFonts w:ascii="Times New Roman" w:hAnsi="Times New Roman" w:cs="Times New Roman"/>
        </w:rPr>
        <w:t>for</w:t>
      </w:r>
      <w:r w:rsidRPr="00A336DB">
        <w:rPr>
          <w:rFonts w:ascii="Times New Roman" w:hAnsi="Times New Roman" w:cs="Times New Roman"/>
        </w:rPr>
        <w:t xml:space="preserve"> the future of the United States</w:t>
      </w:r>
      <w:r w:rsidR="00104026">
        <w:rPr>
          <w:rFonts w:ascii="Times New Roman" w:hAnsi="Times New Roman" w:cs="Times New Roman"/>
        </w:rPr>
        <w:t>’</w:t>
      </w:r>
      <w:r w:rsidRPr="00A336DB">
        <w:rPr>
          <w:rFonts w:ascii="Times New Roman" w:hAnsi="Times New Roman" w:cs="Times New Roman"/>
        </w:rPr>
        <w:t xml:space="preserve"> climate change mitigation and geopolitical goals. My testimony today focuses on the </w:t>
      </w:r>
      <w:r w:rsidR="00EB3578" w:rsidRPr="00A336DB">
        <w:rPr>
          <w:rFonts w:ascii="Times New Roman" w:hAnsi="Times New Roman" w:cs="Times New Roman"/>
        </w:rPr>
        <w:t>exponential demand that is expected for</w:t>
      </w:r>
      <w:r w:rsidRPr="00A336DB">
        <w:rPr>
          <w:rFonts w:ascii="Times New Roman" w:hAnsi="Times New Roman" w:cs="Times New Roman"/>
        </w:rPr>
        <w:t xml:space="preserve"> critical minerals </w:t>
      </w:r>
      <w:r w:rsidR="00EB3578" w:rsidRPr="00A336DB">
        <w:rPr>
          <w:rFonts w:ascii="Times New Roman" w:hAnsi="Times New Roman" w:cs="Times New Roman"/>
        </w:rPr>
        <w:t xml:space="preserve">in the next decades as a result of the move towards a global energy transition. </w:t>
      </w:r>
      <w:r w:rsidRPr="00A336DB">
        <w:rPr>
          <w:rFonts w:ascii="Times New Roman" w:hAnsi="Times New Roman" w:cs="Times New Roman"/>
        </w:rPr>
        <w:t xml:space="preserve"> </w:t>
      </w:r>
      <w:r w:rsidR="00EB3578" w:rsidRPr="00A336DB">
        <w:rPr>
          <w:rFonts w:ascii="Times New Roman" w:hAnsi="Times New Roman" w:cs="Times New Roman"/>
        </w:rPr>
        <w:t>My research and my remarks today point towards an urgent need for action from the US government, in conjunction with allies and partners here in the US and abroad, to find ways of satisfying that demand.</w:t>
      </w:r>
    </w:p>
    <w:p w14:paraId="160C39A1" w14:textId="77777777" w:rsidR="00830F7F" w:rsidRPr="00A336DB" w:rsidRDefault="00830F7F" w:rsidP="00B84F20">
      <w:pPr>
        <w:rPr>
          <w:rFonts w:ascii="Times New Roman" w:hAnsi="Times New Roman" w:cs="Times New Roman"/>
        </w:rPr>
      </w:pPr>
    </w:p>
    <w:p w14:paraId="4524BDA7" w14:textId="77777777" w:rsidR="00EB3578" w:rsidRPr="00A336DB" w:rsidRDefault="00EB3578" w:rsidP="00B84F20">
      <w:pPr>
        <w:rPr>
          <w:rFonts w:ascii="Times New Roman" w:hAnsi="Times New Roman" w:cs="Times New Roman"/>
        </w:rPr>
      </w:pPr>
      <w:r w:rsidRPr="00A336DB">
        <w:rPr>
          <w:rFonts w:ascii="Times New Roman" w:hAnsi="Times New Roman" w:cs="Times New Roman"/>
        </w:rPr>
        <w:t>My testimony is based in part on work conducted by the</w:t>
      </w:r>
      <w:r w:rsidR="00B84F20" w:rsidRPr="00A336DB">
        <w:rPr>
          <w:rFonts w:ascii="Times New Roman" w:hAnsi="Times New Roman" w:cs="Times New Roman"/>
        </w:rPr>
        <w:t xml:space="preserve"> Wilson Center</w:t>
      </w:r>
      <w:r w:rsidRPr="00A336DB">
        <w:rPr>
          <w:rFonts w:ascii="Times New Roman" w:hAnsi="Times New Roman" w:cs="Times New Roman"/>
        </w:rPr>
        <w:t>’s</w:t>
      </w:r>
      <w:r w:rsidR="00B84F20" w:rsidRPr="00A336DB">
        <w:rPr>
          <w:rFonts w:ascii="Times New Roman" w:hAnsi="Times New Roman" w:cs="Times New Roman"/>
        </w:rPr>
        <w:t xml:space="preserve"> Critical Minerals Working Group, made up of stakeholders from industry, academia and civil society, </w:t>
      </w:r>
      <w:r w:rsidRPr="00A336DB">
        <w:rPr>
          <w:rFonts w:ascii="Times New Roman" w:hAnsi="Times New Roman" w:cs="Times New Roman"/>
        </w:rPr>
        <w:t xml:space="preserve">which was convened in the summer of 2021 </w:t>
      </w:r>
      <w:r w:rsidR="00B84F20" w:rsidRPr="00A336DB">
        <w:rPr>
          <w:rFonts w:ascii="Times New Roman" w:hAnsi="Times New Roman" w:cs="Times New Roman"/>
        </w:rPr>
        <w:t xml:space="preserve">to examine the vulnerabilities that exist in the </w:t>
      </w:r>
      <w:r w:rsidR="00830F7F" w:rsidRPr="00A336DB">
        <w:rPr>
          <w:rFonts w:ascii="Times New Roman" w:hAnsi="Times New Roman" w:cs="Times New Roman"/>
        </w:rPr>
        <w:t xml:space="preserve">critical minerals </w:t>
      </w:r>
      <w:r w:rsidR="00B84F20" w:rsidRPr="00A336DB">
        <w:rPr>
          <w:rFonts w:ascii="Times New Roman" w:hAnsi="Times New Roman" w:cs="Times New Roman"/>
        </w:rPr>
        <w:t xml:space="preserve">supply chain, and to discuss how the private sector and government can address them. </w:t>
      </w:r>
      <w:r w:rsidRPr="00A336DB">
        <w:rPr>
          <w:rFonts w:ascii="Times New Roman" w:hAnsi="Times New Roman" w:cs="Times New Roman"/>
        </w:rPr>
        <w:t xml:space="preserve">In addition, I draw on reports written and published by the World Bank and the International Energy Agency. </w:t>
      </w:r>
    </w:p>
    <w:p w14:paraId="0FFB9143" w14:textId="77777777" w:rsidR="00A336DB" w:rsidRDefault="00A336DB" w:rsidP="00B84F20">
      <w:pPr>
        <w:rPr>
          <w:rFonts w:ascii="Times New Roman" w:hAnsi="Times New Roman" w:cs="Times New Roman"/>
        </w:rPr>
      </w:pPr>
    </w:p>
    <w:p w14:paraId="6262E06D" w14:textId="221F6A3A" w:rsidR="00830F7F" w:rsidRPr="00A336DB" w:rsidRDefault="00EB3578" w:rsidP="00B84F20">
      <w:pPr>
        <w:rPr>
          <w:rFonts w:ascii="Times New Roman" w:hAnsi="Times New Roman" w:cs="Times New Roman"/>
        </w:rPr>
      </w:pPr>
      <w:r w:rsidRPr="00A336DB">
        <w:rPr>
          <w:rFonts w:ascii="Times New Roman" w:hAnsi="Times New Roman" w:cs="Times New Roman"/>
        </w:rPr>
        <w:t xml:space="preserve">I would like to emphasize </w:t>
      </w:r>
      <w:r w:rsidR="00A336DB">
        <w:rPr>
          <w:rFonts w:ascii="Times New Roman" w:hAnsi="Times New Roman" w:cs="Times New Roman"/>
        </w:rPr>
        <w:t>two</w:t>
      </w:r>
      <w:r w:rsidRPr="00A336DB">
        <w:rPr>
          <w:rFonts w:ascii="Times New Roman" w:hAnsi="Times New Roman" w:cs="Times New Roman"/>
        </w:rPr>
        <w:t xml:space="preserve"> main points when addressing demand</w:t>
      </w:r>
      <w:r w:rsidR="00B84F20" w:rsidRPr="00A336DB">
        <w:rPr>
          <w:rFonts w:ascii="Times New Roman" w:hAnsi="Times New Roman" w:cs="Times New Roman"/>
        </w:rPr>
        <w:t>:</w:t>
      </w:r>
    </w:p>
    <w:p w14:paraId="41E17AB6" w14:textId="486536BC" w:rsidR="00B84F20" w:rsidRPr="00A336DB" w:rsidRDefault="00EB3578" w:rsidP="00B84F20">
      <w:pPr>
        <w:pStyle w:val="ListParagraph"/>
        <w:numPr>
          <w:ilvl w:val="0"/>
          <w:numId w:val="1"/>
        </w:numPr>
        <w:rPr>
          <w:rFonts w:ascii="Times New Roman" w:hAnsi="Times New Roman" w:cs="Times New Roman"/>
        </w:rPr>
      </w:pPr>
      <w:r w:rsidRPr="00A336DB">
        <w:rPr>
          <w:rFonts w:ascii="Times New Roman" w:hAnsi="Times New Roman" w:cs="Times New Roman"/>
        </w:rPr>
        <w:t xml:space="preserve">The growth in demand for critical minerals is already impressive but will become increasingly daunting as the energy transition advances. </w:t>
      </w:r>
    </w:p>
    <w:p w14:paraId="0B2B7748" w14:textId="68BC4827" w:rsidR="00A336DB" w:rsidRPr="00A336DB" w:rsidRDefault="00A336DB" w:rsidP="00A336DB">
      <w:pPr>
        <w:pStyle w:val="ListParagraph"/>
        <w:numPr>
          <w:ilvl w:val="0"/>
          <w:numId w:val="1"/>
        </w:numPr>
        <w:rPr>
          <w:rFonts w:ascii="Times New Roman" w:hAnsi="Times New Roman" w:cs="Times New Roman"/>
        </w:rPr>
      </w:pPr>
      <w:r>
        <w:rPr>
          <w:rFonts w:ascii="Times New Roman" w:hAnsi="Times New Roman" w:cs="Times New Roman"/>
        </w:rPr>
        <w:t>Policy makers and industry must work together to find an adequate response to this daunting reality</w:t>
      </w:r>
      <w:r w:rsidR="00B84F20" w:rsidRPr="00A336DB">
        <w:rPr>
          <w:rFonts w:ascii="Times New Roman" w:hAnsi="Times New Roman" w:cs="Times New Roman"/>
        </w:rPr>
        <w:t xml:space="preserve">, </w:t>
      </w:r>
      <w:r>
        <w:rPr>
          <w:rFonts w:ascii="Times New Roman" w:hAnsi="Times New Roman" w:cs="Times New Roman"/>
        </w:rPr>
        <w:t>with priority given to the development of new resources.</w:t>
      </w:r>
    </w:p>
    <w:p w14:paraId="280091A9" w14:textId="38E0C781" w:rsidR="00A336DB" w:rsidRPr="00A336DB" w:rsidRDefault="00A336DB" w:rsidP="00B84F20">
      <w:pPr>
        <w:rPr>
          <w:rFonts w:ascii="Times New Roman" w:hAnsi="Times New Roman" w:cs="Times New Roman"/>
        </w:rPr>
      </w:pPr>
    </w:p>
    <w:p w14:paraId="225261CD" w14:textId="695EF5CB" w:rsidR="00A336DB" w:rsidRPr="00A336DB" w:rsidRDefault="00A336DB" w:rsidP="00B84F20">
      <w:pPr>
        <w:rPr>
          <w:rFonts w:ascii="Times New Roman" w:hAnsi="Times New Roman" w:cs="Times New Roman"/>
          <w:b/>
          <w:bCs/>
        </w:rPr>
      </w:pPr>
      <w:r w:rsidRPr="00A336DB">
        <w:rPr>
          <w:rFonts w:ascii="Times New Roman" w:hAnsi="Times New Roman" w:cs="Times New Roman"/>
          <w:b/>
          <w:bCs/>
        </w:rPr>
        <w:t>A daunting reality: the pace and scale of rising demand</w:t>
      </w:r>
    </w:p>
    <w:p w14:paraId="71D2332F" w14:textId="5D5AD09A" w:rsidR="00A336DB" w:rsidRPr="00A336DB" w:rsidRDefault="00A336DB" w:rsidP="00A336DB">
      <w:pPr>
        <w:rPr>
          <w:rFonts w:ascii="Times New Roman" w:hAnsi="Times New Roman" w:cs="Times New Roman"/>
        </w:rPr>
      </w:pPr>
      <w:r w:rsidRPr="00A336DB">
        <w:rPr>
          <w:rFonts w:ascii="Times New Roman" w:hAnsi="Times New Roman" w:cs="Times New Roman"/>
        </w:rPr>
        <w:t xml:space="preserve">With the global energy transition gathering pace, attention has recently turned to an urgent question. Renewable energy and energy storage technologies increasingly rely on the intensive use of certain critical minerals such as lithium, nickel and cobalt, manganese, and rare earth elements. </w:t>
      </w:r>
      <w:r w:rsidR="0011669F">
        <w:rPr>
          <w:rFonts w:ascii="Times New Roman" w:hAnsi="Times New Roman" w:cs="Times New Roman"/>
        </w:rPr>
        <w:t>I</w:t>
      </w:r>
      <w:r w:rsidRPr="00A336DB">
        <w:rPr>
          <w:rFonts w:ascii="Times New Roman" w:hAnsi="Times New Roman" w:cs="Times New Roman"/>
        </w:rPr>
        <w:t xml:space="preserve">n addition, the growing electrification of our energy matrix here in the US and around the world means that natural resources such as copper </w:t>
      </w:r>
      <w:r>
        <w:rPr>
          <w:rFonts w:ascii="Times New Roman" w:hAnsi="Times New Roman" w:cs="Times New Roman"/>
        </w:rPr>
        <w:t xml:space="preserve">and aluminum </w:t>
      </w:r>
      <w:r w:rsidRPr="00A336DB">
        <w:rPr>
          <w:rFonts w:ascii="Times New Roman" w:hAnsi="Times New Roman" w:cs="Times New Roman"/>
        </w:rPr>
        <w:t xml:space="preserve">are in increasingly high demand. </w:t>
      </w:r>
      <w:r>
        <w:rPr>
          <w:rFonts w:ascii="Times New Roman" w:hAnsi="Times New Roman" w:cs="Times New Roman"/>
        </w:rPr>
        <w:t>The performance, longevity</w:t>
      </w:r>
      <w:r w:rsidR="0011669F">
        <w:rPr>
          <w:rFonts w:ascii="Times New Roman" w:hAnsi="Times New Roman" w:cs="Times New Roman"/>
        </w:rPr>
        <w:t>,</w:t>
      </w:r>
      <w:r>
        <w:rPr>
          <w:rFonts w:ascii="Times New Roman" w:hAnsi="Times New Roman" w:cs="Times New Roman"/>
        </w:rPr>
        <w:t xml:space="preserve"> and energy density of batteries is entirely dependent today on the availability and quality of l</w:t>
      </w:r>
      <w:r w:rsidRPr="00A336DB">
        <w:rPr>
          <w:rFonts w:ascii="Times New Roman" w:hAnsi="Times New Roman" w:cs="Times New Roman"/>
        </w:rPr>
        <w:t>ithium, nickel, cobalt, manganese and graphite</w:t>
      </w:r>
      <w:r>
        <w:rPr>
          <w:rFonts w:ascii="Times New Roman" w:hAnsi="Times New Roman" w:cs="Times New Roman"/>
        </w:rPr>
        <w:t xml:space="preserve">, whereas </w:t>
      </w:r>
      <w:r w:rsidRPr="00A336DB">
        <w:rPr>
          <w:rFonts w:ascii="Times New Roman" w:hAnsi="Times New Roman" w:cs="Times New Roman"/>
        </w:rPr>
        <w:t>wind turbines and EV motors</w:t>
      </w:r>
      <w:r>
        <w:rPr>
          <w:rFonts w:ascii="Times New Roman" w:hAnsi="Times New Roman" w:cs="Times New Roman"/>
        </w:rPr>
        <w:t xml:space="preserve"> depend on REEs </w:t>
      </w:r>
      <w:r w:rsidRPr="00A336DB">
        <w:rPr>
          <w:rFonts w:ascii="Times New Roman" w:hAnsi="Times New Roman" w:cs="Times New Roman"/>
        </w:rPr>
        <w:t xml:space="preserve">for </w:t>
      </w:r>
      <w:r>
        <w:rPr>
          <w:rFonts w:ascii="Times New Roman" w:hAnsi="Times New Roman" w:cs="Times New Roman"/>
        </w:rPr>
        <w:t xml:space="preserve">the </w:t>
      </w:r>
      <w:r w:rsidRPr="00A336DB">
        <w:rPr>
          <w:rFonts w:ascii="Times New Roman" w:hAnsi="Times New Roman" w:cs="Times New Roman"/>
        </w:rPr>
        <w:t xml:space="preserve">permanent magnets </w:t>
      </w:r>
      <w:r>
        <w:rPr>
          <w:rFonts w:ascii="Times New Roman" w:hAnsi="Times New Roman" w:cs="Times New Roman"/>
        </w:rPr>
        <w:t xml:space="preserve">allow them to generate </w:t>
      </w:r>
      <w:r>
        <w:rPr>
          <w:rFonts w:ascii="Times New Roman" w:hAnsi="Times New Roman" w:cs="Times New Roman"/>
        </w:rPr>
        <w:lastRenderedPageBreak/>
        <w:t>power</w:t>
      </w:r>
      <w:r w:rsidRPr="00A336DB">
        <w:rPr>
          <w:rFonts w:ascii="Times New Roman" w:hAnsi="Times New Roman" w:cs="Times New Roman"/>
        </w:rPr>
        <w:t>. </w:t>
      </w:r>
      <w:r>
        <w:rPr>
          <w:rFonts w:ascii="Times New Roman" w:hAnsi="Times New Roman" w:cs="Times New Roman"/>
        </w:rPr>
        <w:t xml:space="preserve">To state the situation simply, the clean energy transition means </w:t>
      </w:r>
      <w:r w:rsidRPr="00A336DB">
        <w:rPr>
          <w:rFonts w:ascii="Times New Roman" w:hAnsi="Times New Roman" w:cs="Times New Roman"/>
        </w:rPr>
        <w:t>more batteries, solar panels, wind turbines</w:t>
      </w:r>
      <w:r>
        <w:rPr>
          <w:rFonts w:ascii="Times New Roman" w:hAnsi="Times New Roman" w:cs="Times New Roman"/>
        </w:rPr>
        <w:t xml:space="preserve"> which in turn means </w:t>
      </w:r>
      <w:r w:rsidR="0011669F">
        <w:rPr>
          <w:rFonts w:ascii="Times New Roman" w:hAnsi="Times New Roman" w:cs="Times New Roman"/>
        </w:rPr>
        <w:t xml:space="preserve">increased </w:t>
      </w:r>
      <w:r>
        <w:rPr>
          <w:rFonts w:ascii="Times New Roman" w:hAnsi="Times New Roman" w:cs="Times New Roman"/>
        </w:rPr>
        <w:t>demand for critical minerals.</w:t>
      </w:r>
    </w:p>
    <w:p w14:paraId="525FD874" w14:textId="77777777" w:rsidR="00A336DB" w:rsidRDefault="00A336DB" w:rsidP="00A336DB">
      <w:pPr>
        <w:rPr>
          <w:rFonts w:ascii="Times New Roman" w:hAnsi="Times New Roman" w:cs="Times New Roman"/>
        </w:rPr>
      </w:pPr>
    </w:p>
    <w:p w14:paraId="70FA411F" w14:textId="41FFB075" w:rsidR="00A336DB" w:rsidRPr="00A336DB" w:rsidRDefault="00A336DB" w:rsidP="00A336DB">
      <w:pPr>
        <w:rPr>
          <w:rFonts w:ascii="Times New Roman" w:hAnsi="Times New Roman" w:cs="Times New Roman"/>
          <w:i/>
          <w:iCs/>
        </w:rPr>
      </w:pPr>
      <w:r w:rsidRPr="00A336DB">
        <w:rPr>
          <w:rFonts w:ascii="Times New Roman" w:hAnsi="Times New Roman" w:cs="Times New Roman"/>
        </w:rPr>
        <w:t xml:space="preserve">The shift to a clean energy system is set to drive a huge increase in the requirements for these minerals, meaning that the energy sector is emerging as a major force in mineral markets. Fortunately, the earth has these minerals in abundance. Unfortunately, most of the world's reserves of critical minerals have yet to be discovered, and those that are already being exploited are unevenly distributed. To complicate matters still further, and as discussed in a recent Wilson Center publication titled </w:t>
      </w:r>
      <w:r w:rsidRPr="00A336DB">
        <w:rPr>
          <w:rFonts w:ascii="Times New Roman" w:hAnsi="Times New Roman" w:cs="Times New Roman"/>
          <w:i/>
          <w:iCs/>
        </w:rPr>
        <w:t>The Mosaic Approach</w:t>
      </w:r>
      <w:r w:rsidRPr="00A336DB">
        <w:rPr>
          <w:rFonts w:ascii="Times New Roman" w:hAnsi="Times New Roman" w:cs="Times New Roman"/>
        </w:rPr>
        <w:t>,</w:t>
      </w:r>
      <w:r>
        <w:rPr>
          <w:rStyle w:val="FootnoteReference"/>
          <w:rFonts w:ascii="Times New Roman" w:hAnsi="Times New Roman" w:cs="Times New Roman"/>
        </w:rPr>
        <w:footnoteReference w:id="1"/>
      </w:r>
      <w:r w:rsidRPr="00A336DB">
        <w:rPr>
          <w:rFonts w:ascii="Times New Roman" w:hAnsi="Times New Roman" w:cs="Times New Roman"/>
        </w:rPr>
        <w:t xml:space="preserve"> bringing newly discovered reserves of critical minerals to market takes many years, creating a lag between rising demand and new supplies.</w:t>
      </w:r>
    </w:p>
    <w:p w14:paraId="51344183" w14:textId="77777777" w:rsidR="00A336DB" w:rsidRDefault="00A336DB" w:rsidP="00A336DB">
      <w:pPr>
        <w:rPr>
          <w:rFonts w:ascii="Times New Roman" w:hAnsi="Times New Roman" w:cs="Times New Roman"/>
        </w:rPr>
      </w:pPr>
    </w:p>
    <w:p w14:paraId="2A67AC26" w14:textId="6F5FC436" w:rsidR="00A336DB" w:rsidRPr="00A336DB" w:rsidRDefault="00A336DB" w:rsidP="00A336DB">
      <w:pPr>
        <w:rPr>
          <w:rFonts w:ascii="Times New Roman" w:hAnsi="Times New Roman" w:cs="Times New Roman"/>
        </w:rPr>
      </w:pPr>
      <w:r w:rsidRPr="00A336DB">
        <w:rPr>
          <w:rFonts w:ascii="Times New Roman" w:hAnsi="Times New Roman" w:cs="Times New Roman"/>
        </w:rPr>
        <w:t xml:space="preserve">The need to secure new lines of supply for the critical minerals </w:t>
      </w:r>
      <w:r w:rsidR="0011669F">
        <w:rPr>
          <w:rFonts w:ascii="Times New Roman" w:hAnsi="Times New Roman" w:cs="Times New Roman"/>
        </w:rPr>
        <w:t>essential for</w:t>
      </w:r>
      <w:r w:rsidRPr="00A336DB">
        <w:rPr>
          <w:rFonts w:ascii="Times New Roman" w:hAnsi="Times New Roman" w:cs="Times New Roman"/>
        </w:rPr>
        <w:t xml:space="preserve"> the energy transition is a fact now firmly embedded in the mindset of policy makers here in Washington and in other world capitals. However, the urgency of the situation is still not fully understood by many. Th</w:t>
      </w:r>
      <w:r w:rsidR="0011669F">
        <w:rPr>
          <w:rFonts w:ascii="Times New Roman" w:hAnsi="Times New Roman" w:cs="Times New Roman"/>
        </w:rPr>
        <w:t>is</w:t>
      </w:r>
      <w:r w:rsidRPr="00A336DB">
        <w:rPr>
          <w:rFonts w:ascii="Times New Roman" w:hAnsi="Times New Roman" w:cs="Times New Roman"/>
        </w:rPr>
        <w:t xml:space="preserve"> urgency stems from two inescapable realities. First, we must recognize the scale of future demand for critical minerals, which in the case of several metals is shockingly large. Second, comes the question of the pace of rising demand.  Policy makers must embrace the painful truth that the highly worthy targets set for the energy transition can only be met by a combination of public policy incentives and massive investment </w:t>
      </w:r>
      <w:r w:rsidRPr="00A336DB">
        <w:rPr>
          <w:rFonts w:ascii="Times New Roman" w:hAnsi="Times New Roman" w:cs="Times New Roman"/>
          <w:b/>
          <w:bCs/>
        </w:rPr>
        <w:t>now</w:t>
      </w:r>
      <w:r w:rsidRPr="00A336DB">
        <w:rPr>
          <w:rFonts w:ascii="Times New Roman" w:hAnsi="Times New Roman" w:cs="Times New Roman"/>
        </w:rPr>
        <w:t xml:space="preserve"> by the private sector, here in the United States and abroad, in new mining activities.</w:t>
      </w:r>
    </w:p>
    <w:p w14:paraId="1C52AF98" w14:textId="77777777" w:rsidR="00A336DB" w:rsidRDefault="00A336DB" w:rsidP="00A336DB">
      <w:pPr>
        <w:rPr>
          <w:rFonts w:ascii="Times New Roman" w:hAnsi="Times New Roman" w:cs="Times New Roman"/>
        </w:rPr>
      </w:pPr>
    </w:p>
    <w:p w14:paraId="59038D8C" w14:textId="5E92470A" w:rsidR="00A336DB" w:rsidRDefault="00A336DB" w:rsidP="00A336DB">
      <w:pPr>
        <w:rPr>
          <w:rFonts w:ascii="Times New Roman" w:hAnsi="Times New Roman" w:cs="Times New Roman"/>
        </w:rPr>
      </w:pPr>
      <w:r w:rsidRPr="00A336DB">
        <w:rPr>
          <w:rFonts w:ascii="Times New Roman" w:hAnsi="Times New Roman" w:cs="Times New Roman"/>
        </w:rPr>
        <w:t xml:space="preserve">To understand the scale of demand growth, it is worthwhile turning to two recent publications by the World Bank (WB) and the International Energy Agency (IEA) respectively. In the first, titled </w:t>
      </w:r>
      <w:r w:rsidRPr="00A336DB">
        <w:rPr>
          <w:rFonts w:ascii="Times New Roman" w:hAnsi="Times New Roman" w:cs="Times New Roman"/>
          <w:i/>
          <w:iCs/>
        </w:rPr>
        <w:t>Minerals for Climate Action: the mineral intensity of the clean energy transition</w:t>
      </w:r>
      <w:r w:rsidRPr="00A336DB">
        <w:rPr>
          <w:rStyle w:val="FootnoteReference"/>
          <w:rFonts w:ascii="Times New Roman" w:hAnsi="Times New Roman" w:cs="Times New Roman"/>
          <w:i/>
          <w:iCs/>
        </w:rPr>
        <w:footnoteReference w:id="2"/>
      </w:r>
      <w:r w:rsidRPr="00A336DB">
        <w:rPr>
          <w:rFonts w:ascii="Times New Roman" w:hAnsi="Times New Roman" w:cs="Times New Roman"/>
        </w:rPr>
        <w:t>, the authors examine a wide range of critical minerals and estimate their future demand as a result of the growth in renewable energies. As can be seen from the table below (taken from the World Bank report), while there is strong demand growth for all minerals associated with clean energies, in the case of minerals such as cobalt, lithium graphite and indium, annual growth rates reach stratospheric levels of several hundred percent.</w:t>
      </w:r>
    </w:p>
    <w:p w14:paraId="114DEFBF" w14:textId="77777777" w:rsidR="00A336DB" w:rsidRDefault="00A336DB" w:rsidP="00A336DB">
      <w:pPr>
        <w:rPr>
          <w:rFonts w:ascii="Times New Roman" w:hAnsi="Times New Roman" w:cs="Times New Roman"/>
        </w:rPr>
      </w:pPr>
    </w:p>
    <w:p w14:paraId="6A2FA917" w14:textId="77777777" w:rsidR="00A336DB" w:rsidRDefault="00A336DB" w:rsidP="00A336DB">
      <w:pPr>
        <w:rPr>
          <w:rFonts w:ascii="Times New Roman" w:hAnsi="Times New Roman" w:cs="Times New Roman"/>
          <w:b/>
          <w:bCs/>
        </w:rPr>
      </w:pPr>
    </w:p>
    <w:p w14:paraId="0341B6AA" w14:textId="77777777" w:rsidR="00A336DB" w:rsidRDefault="00A336DB" w:rsidP="00A336DB">
      <w:pPr>
        <w:rPr>
          <w:rFonts w:ascii="Times New Roman" w:hAnsi="Times New Roman" w:cs="Times New Roman"/>
          <w:b/>
          <w:bCs/>
        </w:rPr>
      </w:pPr>
    </w:p>
    <w:p w14:paraId="7D58FCD3" w14:textId="77777777" w:rsidR="00A336DB" w:rsidRDefault="00A336DB" w:rsidP="00A336DB">
      <w:pPr>
        <w:rPr>
          <w:rFonts w:ascii="Times New Roman" w:hAnsi="Times New Roman" w:cs="Times New Roman"/>
          <w:b/>
          <w:bCs/>
        </w:rPr>
      </w:pPr>
    </w:p>
    <w:p w14:paraId="37F1E9A0" w14:textId="77777777" w:rsidR="00A336DB" w:rsidRDefault="00A336DB" w:rsidP="00A336DB">
      <w:pPr>
        <w:rPr>
          <w:rFonts w:ascii="Times New Roman" w:hAnsi="Times New Roman" w:cs="Times New Roman"/>
          <w:b/>
          <w:bCs/>
        </w:rPr>
      </w:pPr>
    </w:p>
    <w:p w14:paraId="4BAE4F58" w14:textId="77777777" w:rsidR="00A336DB" w:rsidRDefault="00A336DB" w:rsidP="00A336DB">
      <w:pPr>
        <w:rPr>
          <w:rFonts w:ascii="Times New Roman" w:hAnsi="Times New Roman" w:cs="Times New Roman"/>
          <w:b/>
          <w:bCs/>
        </w:rPr>
      </w:pPr>
    </w:p>
    <w:p w14:paraId="5BD8DD62" w14:textId="77777777" w:rsidR="00A336DB" w:rsidRDefault="00A336DB" w:rsidP="00A336DB">
      <w:pPr>
        <w:rPr>
          <w:rFonts w:ascii="Times New Roman" w:hAnsi="Times New Roman" w:cs="Times New Roman"/>
          <w:b/>
          <w:bCs/>
        </w:rPr>
      </w:pPr>
    </w:p>
    <w:p w14:paraId="25F449F3" w14:textId="77777777" w:rsidR="00A336DB" w:rsidRDefault="00A336DB" w:rsidP="00A336DB">
      <w:pPr>
        <w:rPr>
          <w:rFonts w:ascii="Times New Roman" w:hAnsi="Times New Roman" w:cs="Times New Roman"/>
          <w:b/>
          <w:bCs/>
        </w:rPr>
      </w:pPr>
    </w:p>
    <w:p w14:paraId="65FB8106" w14:textId="77777777" w:rsidR="00A336DB" w:rsidRDefault="00A336DB" w:rsidP="00A336DB">
      <w:pPr>
        <w:rPr>
          <w:rFonts w:ascii="Times New Roman" w:hAnsi="Times New Roman" w:cs="Times New Roman"/>
          <w:b/>
          <w:bCs/>
        </w:rPr>
      </w:pPr>
    </w:p>
    <w:p w14:paraId="79BA550E" w14:textId="77777777" w:rsidR="00A336DB" w:rsidRDefault="00A336DB" w:rsidP="00A336DB">
      <w:pPr>
        <w:rPr>
          <w:rFonts w:ascii="Times New Roman" w:hAnsi="Times New Roman" w:cs="Times New Roman"/>
          <w:b/>
          <w:bCs/>
        </w:rPr>
      </w:pPr>
    </w:p>
    <w:p w14:paraId="39555D4A" w14:textId="77777777" w:rsidR="00A336DB" w:rsidRDefault="00A336DB" w:rsidP="00A336DB">
      <w:pPr>
        <w:rPr>
          <w:rFonts w:ascii="Times New Roman" w:hAnsi="Times New Roman" w:cs="Times New Roman"/>
          <w:b/>
          <w:bCs/>
        </w:rPr>
      </w:pPr>
    </w:p>
    <w:p w14:paraId="6CF04277" w14:textId="77777777" w:rsidR="00A336DB" w:rsidRDefault="00A336DB" w:rsidP="00A336DB">
      <w:pPr>
        <w:rPr>
          <w:rFonts w:ascii="Times New Roman" w:hAnsi="Times New Roman" w:cs="Times New Roman"/>
          <w:b/>
          <w:bCs/>
        </w:rPr>
      </w:pPr>
    </w:p>
    <w:p w14:paraId="2B56203C" w14:textId="53F3A1B9" w:rsidR="00A336DB" w:rsidRDefault="00A336DB" w:rsidP="00A336DB">
      <w:pPr>
        <w:rPr>
          <w:rFonts w:ascii="Times New Roman" w:hAnsi="Times New Roman" w:cs="Times New Roman"/>
          <w:b/>
          <w:bCs/>
        </w:rPr>
      </w:pPr>
    </w:p>
    <w:p w14:paraId="4490076E" w14:textId="06D807A9" w:rsidR="00805011" w:rsidRDefault="00805011" w:rsidP="00A336DB">
      <w:pPr>
        <w:rPr>
          <w:rFonts w:ascii="Times New Roman" w:hAnsi="Times New Roman" w:cs="Times New Roman"/>
          <w:b/>
          <w:bCs/>
        </w:rPr>
      </w:pPr>
    </w:p>
    <w:p w14:paraId="28AA843C" w14:textId="77777777" w:rsidR="00805011" w:rsidRDefault="00805011" w:rsidP="00A336DB">
      <w:pPr>
        <w:rPr>
          <w:rFonts w:ascii="Times New Roman" w:hAnsi="Times New Roman" w:cs="Times New Roman"/>
          <w:b/>
          <w:bCs/>
        </w:rPr>
      </w:pPr>
    </w:p>
    <w:p w14:paraId="43F403FA" w14:textId="5832AE50" w:rsidR="00A336DB" w:rsidRPr="00A336DB" w:rsidRDefault="00A336DB" w:rsidP="00A336DB">
      <w:pPr>
        <w:rPr>
          <w:rFonts w:ascii="Times New Roman" w:eastAsia="Times New Roman" w:hAnsi="Times New Roman" w:cs="Times New Roman"/>
        </w:rPr>
      </w:pPr>
      <w:r w:rsidRPr="00A336DB">
        <w:rPr>
          <w:rFonts w:ascii="Times New Roman" w:hAnsi="Times New Roman" w:cs="Times New Roman"/>
          <w:b/>
          <w:bCs/>
        </w:rPr>
        <w:t xml:space="preserve">Table: </w:t>
      </w:r>
      <w:r w:rsidRPr="00A336DB">
        <w:rPr>
          <w:rFonts w:ascii="Times New Roman" w:eastAsia="Times New Roman" w:hAnsi="Times New Roman" w:cs="Times New Roman"/>
          <w:b/>
          <w:bCs/>
          <w:color w:val="000000"/>
          <w:bdr w:val="none" w:sz="0" w:space="0" w:color="auto" w:frame="1"/>
        </w:rPr>
        <w:t>Mineral production &amp; 2050 Projected Annual Demand from Energy Technologies</w:t>
      </w:r>
      <w:r>
        <w:rPr>
          <w:rFonts w:ascii="Times New Roman" w:eastAsia="Times New Roman" w:hAnsi="Times New Roman" w:cs="Times New Roman"/>
          <w:color w:val="000000"/>
          <w:bdr w:val="none" w:sz="0" w:space="0" w:color="auto" w:frame="1"/>
        </w:rPr>
        <w:t xml:space="preserve"> </w:t>
      </w:r>
      <w:r w:rsidRPr="00A336DB">
        <w:rPr>
          <w:rFonts w:ascii="Times New Roman" w:eastAsia="Times New Roman" w:hAnsi="Times New Roman" w:cs="Times New Roman"/>
          <w:color w:val="000000"/>
          <w:sz w:val="20"/>
          <w:szCs w:val="20"/>
          <w:bdr w:val="none" w:sz="0" w:space="0" w:color="auto" w:frame="1"/>
        </w:rPr>
        <w:t xml:space="preserve">(source World Bank, </w:t>
      </w:r>
      <w:r w:rsidRPr="00A336DB">
        <w:rPr>
          <w:rFonts w:ascii="Times New Roman" w:eastAsia="Times New Roman" w:hAnsi="Times New Roman" w:cs="Times New Roman"/>
          <w:i/>
          <w:iCs/>
          <w:color w:val="000000"/>
          <w:sz w:val="20"/>
          <w:szCs w:val="20"/>
          <w:bdr w:val="none" w:sz="0" w:space="0" w:color="auto" w:frame="1"/>
        </w:rPr>
        <w:t>Minerals for Climate Action: The mineral intensity of the clean energy transition</w:t>
      </w:r>
      <w:r w:rsidRPr="00A336DB">
        <w:rPr>
          <w:rFonts w:ascii="Times New Roman" w:eastAsia="Times New Roman" w:hAnsi="Times New Roman" w:cs="Times New Roman"/>
          <w:color w:val="000000"/>
          <w:sz w:val="20"/>
          <w:szCs w:val="20"/>
          <w:bdr w:val="none" w:sz="0" w:space="0" w:color="auto" w:frame="1"/>
        </w:rPr>
        <w:t>)</w:t>
      </w:r>
    </w:p>
    <w:p w14:paraId="2CBC2A9E" w14:textId="03496F75" w:rsidR="00A336DB" w:rsidRDefault="00A336DB" w:rsidP="00A336DB">
      <w:pPr>
        <w:rPr>
          <w:rFonts w:ascii="Times New Roman" w:hAnsi="Times New Roman" w:cs="Times New Roman"/>
        </w:rPr>
      </w:pPr>
    </w:p>
    <w:p w14:paraId="15C38623" w14:textId="5F051CBC" w:rsidR="00A336DB" w:rsidRPr="00A336DB" w:rsidRDefault="00A336DB" w:rsidP="00A336DB">
      <w:pPr>
        <w:rPr>
          <w:rFonts w:ascii="Times New Roman" w:hAnsi="Times New Roman" w:cs="Times New Roman"/>
        </w:rPr>
      </w:pPr>
      <w:r w:rsidRPr="00A336DB">
        <w:rPr>
          <w:rFonts w:ascii="Times New Roman" w:hAnsi="Times New Roman" w:cs="Times New Roman"/>
          <w:noProof/>
        </w:rPr>
        <w:drawing>
          <wp:inline distT="0" distB="0" distL="0" distR="0" wp14:anchorId="622C4325" wp14:editId="0D144B1D">
            <wp:extent cx="5943600" cy="3198495"/>
            <wp:effectExtent l="0" t="0" r="0" b="190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8"/>
                    <a:stretch>
                      <a:fillRect/>
                    </a:stretch>
                  </pic:blipFill>
                  <pic:spPr>
                    <a:xfrm>
                      <a:off x="0" y="0"/>
                      <a:ext cx="5943600" cy="3198495"/>
                    </a:xfrm>
                    <a:prstGeom prst="rect">
                      <a:avLst/>
                    </a:prstGeom>
                  </pic:spPr>
                </pic:pic>
              </a:graphicData>
            </a:graphic>
          </wp:inline>
        </w:drawing>
      </w:r>
    </w:p>
    <w:p w14:paraId="74367A3B" w14:textId="77777777" w:rsidR="00A336DB" w:rsidRDefault="00A336DB" w:rsidP="00A336DB">
      <w:pPr>
        <w:rPr>
          <w:rFonts w:ascii="Times New Roman" w:hAnsi="Times New Roman" w:cs="Times New Roman"/>
        </w:rPr>
      </w:pPr>
    </w:p>
    <w:p w14:paraId="226419B8" w14:textId="1A28E33A" w:rsidR="00A336DB" w:rsidRDefault="00A336DB" w:rsidP="00A336DB">
      <w:pPr>
        <w:rPr>
          <w:rFonts w:ascii="Times New Roman" w:hAnsi="Times New Roman" w:cs="Times New Roman"/>
        </w:rPr>
      </w:pPr>
      <w:r>
        <w:rPr>
          <w:rFonts w:ascii="Times New Roman" w:hAnsi="Times New Roman" w:cs="Times New Roman"/>
        </w:rPr>
        <w:t xml:space="preserve">For its part, the IEA has highlighted </w:t>
      </w:r>
      <w:r w:rsidRPr="00A336DB">
        <w:rPr>
          <w:rFonts w:ascii="Times New Roman" w:hAnsi="Times New Roman" w:cs="Times New Roman"/>
        </w:rPr>
        <w:t>the mineral intensity of renewable energy technologies</w:t>
      </w:r>
      <w:r>
        <w:rPr>
          <w:rFonts w:ascii="Times New Roman" w:hAnsi="Times New Roman" w:cs="Times New Roman"/>
        </w:rPr>
        <w:t xml:space="preserve">. </w:t>
      </w:r>
      <w:r w:rsidRPr="00A336DB">
        <w:rPr>
          <w:rFonts w:ascii="Times New Roman" w:hAnsi="Times New Roman" w:cs="Times New Roman"/>
        </w:rPr>
        <w:t xml:space="preserve">In </w:t>
      </w:r>
      <w:r w:rsidRPr="00A336DB">
        <w:rPr>
          <w:rFonts w:ascii="Times New Roman" w:hAnsi="Times New Roman" w:cs="Times New Roman"/>
          <w:i/>
          <w:iCs/>
        </w:rPr>
        <w:t>The Role of Critical Minerals in Clean Energy Transitions</w:t>
      </w:r>
      <w:r w:rsidRPr="00A336DB">
        <w:rPr>
          <w:rFonts w:ascii="Times New Roman" w:hAnsi="Times New Roman" w:cs="Times New Roman"/>
        </w:rPr>
        <w:t>,</w:t>
      </w:r>
      <w:r w:rsidRPr="00A336DB">
        <w:rPr>
          <w:rStyle w:val="FootnoteReference"/>
          <w:rFonts w:ascii="Times New Roman" w:hAnsi="Times New Roman" w:cs="Times New Roman"/>
        </w:rPr>
        <w:footnoteReference w:id="3"/>
      </w:r>
      <w:r>
        <w:rPr>
          <w:rFonts w:ascii="Times New Roman" w:hAnsi="Times New Roman" w:cs="Times New Roman"/>
        </w:rPr>
        <w:t xml:space="preserve"> it is noted that whereas</w:t>
      </w:r>
      <w:r w:rsidRPr="00A336DB">
        <w:rPr>
          <w:rFonts w:ascii="Times New Roman" w:hAnsi="Times New Roman" w:cs="Times New Roman"/>
        </w:rPr>
        <w:t xml:space="preserve"> traditional hydrocarbons based energy generation systems our fuel intensive, renewable energy systems are material-, and specifically mineral-intensive.</w:t>
      </w:r>
      <w:r>
        <w:rPr>
          <w:rFonts w:ascii="Times New Roman" w:hAnsi="Times New Roman" w:cs="Times New Roman"/>
        </w:rPr>
        <w:t xml:space="preserve"> To give one example, “</w:t>
      </w:r>
      <w:r w:rsidRPr="00A336DB">
        <w:rPr>
          <w:rFonts w:ascii="Times New Roman" w:hAnsi="Times New Roman" w:cs="Times New Roman"/>
        </w:rPr>
        <w:t>an onshore wind plant requires nine times more mineral resources than a gas-fired power plant.</w:t>
      </w:r>
      <w:r>
        <w:rPr>
          <w:rFonts w:ascii="Times New Roman" w:hAnsi="Times New Roman" w:cs="Times New Roman"/>
        </w:rPr>
        <w:t>” The report goes on, “</w:t>
      </w:r>
      <w:r w:rsidRPr="00A336DB">
        <w:rPr>
          <w:rFonts w:ascii="Times New Roman" w:hAnsi="Times New Roman" w:cs="Times New Roman"/>
        </w:rPr>
        <w:t>Since 2010, the average amount of minerals needed for a new unit of power generation capacity has increased by 50% as the share of renewables has risen.</w:t>
      </w:r>
      <w:r>
        <w:rPr>
          <w:rFonts w:ascii="Times New Roman" w:hAnsi="Times New Roman" w:cs="Times New Roman"/>
        </w:rPr>
        <w:t>”</w:t>
      </w:r>
    </w:p>
    <w:p w14:paraId="155BBCAE" w14:textId="43E4DA55" w:rsidR="00A336DB" w:rsidRDefault="00A336DB" w:rsidP="00A336DB">
      <w:pPr>
        <w:tabs>
          <w:tab w:val="left" w:pos="220"/>
          <w:tab w:val="left" w:pos="720"/>
        </w:tabs>
        <w:autoSpaceDE w:val="0"/>
        <w:autoSpaceDN w:val="0"/>
        <w:adjustRightInd w:val="0"/>
        <w:rPr>
          <w:rFonts w:ascii="Times New Roman" w:hAnsi="Times New Roman" w:cs="Times New Roman"/>
        </w:rPr>
      </w:pPr>
      <w:r w:rsidRPr="00A336DB">
        <w:rPr>
          <w:rFonts w:ascii="Times New Roman" w:hAnsi="Times New Roman" w:cs="Times New Roman"/>
          <w:noProof/>
        </w:rPr>
        <w:drawing>
          <wp:inline distT="0" distB="0" distL="0" distR="0" wp14:anchorId="57AE249D" wp14:editId="12A56C39">
            <wp:extent cx="4386649" cy="246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1072" cy="2481228"/>
                    </a:xfrm>
                    <a:prstGeom prst="rect">
                      <a:avLst/>
                    </a:prstGeom>
                  </pic:spPr>
                </pic:pic>
              </a:graphicData>
            </a:graphic>
          </wp:inline>
        </w:drawing>
      </w:r>
    </w:p>
    <w:p w14:paraId="746E3D3B" w14:textId="738F46BB" w:rsidR="00A336DB" w:rsidRDefault="00A336DB" w:rsidP="00A336DB">
      <w:p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lastRenderedPageBreak/>
        <w:t xml:space="preserve">Basing its analysis on the implementation of the emissions reduction targets of the </w:t>
      </w:r>
      <w:r w:rsidRPr="00A336DB">
        <w:rPr>
          <w:rFonts w:ascii="Times New Roman" w:hAnsi="Times New Roman" w:cs="Times New Roman"/>
        </w:rPr>
        <w:t xml:space="preserve">Paris Agreement, </w:t>
      </w:r>
      <w:r>
        <w:rPr>
          <w:rFonts w:ascii="Times New Roman" w:hAnsi="Times New Roman" w:cs="Times New Roman"/>
        </w:rPr>
        <w:t>the IEA predicts that the</w:t>
      </w:r>
      <w:r w:rsidRPr="00A336DB">
        <w:rPr>
          <w:rFonts w:ascii="Times New Roman" w:hAnsi="Times New Roman" w:cs="Times New Roman"/>
        </w:rPr>
        <w:t xml:space="preserve"> share of total demand </w:t>
      </w:r>
      <w:r>
        <w:rPr>
          <w:rFonts w:ascii="Times New Roman" w:hAnsi="Times New Roman" w:cs="Times New Roman"/>
        </w:rPr>
        <w:t xml:space="preserve">from clean energies will </w:t>
      </w:r>
      <w:r w:rsidRPr="00A336DB">
        <w:rPr>
          <w:rFonts w:ascii="Times New Roman" w:hAnsi="Times New Roman" w:cs="Times New Roman"/>
        </w:rPr>
        <w:t xml:space="preserve">rise </w:t>
      </w:r>
      <w:r>
        <w:rPr>
          <w:rFonts w:ascii="Times New Roman" w:hAnsi="Times New Roman" w:cs="Times New Roman"/>
        </w:rPr>
        <w:t>“</w:t>
      </w:r>
      <w:r w:rsidRPr="00A336DB">
        <w:rPr>
          <w:rFonts w:ascii="Times New Roman" w:hAnsi="Times New Roman" w:cs="Times New Roman"/>
        </w:rPr>
        <w:t>to over 40% for copper and rare earth elements, 60- 70% for nickel and cobalt, and almost 90% for lithium. EVs and battery storage have already displaced consumer electronics to become the largest consumer of lithium and are set to take over from stainless steel as the largest end user of nickel by 2040.</w:t>
      </w:r>
      <w:r>
        <w:rPr>
          <w:rFonts w:ascii="Times New Roman" w:hAnsi="Times New Roman" w:cs="Times New Roman"/>
        </w:rPr>
        <w:t xml:space="preserve">” This stunning growth in demand for critical minerals is made even more daunting if the goal of net-zero emissions by 2050 is added. In that scenario, </w:t>
      </w:r>
      <w:r w:rsidRPr="00A336DB">
        <w:rPr>
          <w:rFonts w:ascii="Times New Roman" w:hAnsi="Times New Roman" w:cs="Times New Roman"/>
        </w:rPr>
        <w:t>six times more mineral inputs</w:t>
      </w:r>
      <w:r>
        <w:rPr>
          <w:rFonts w:ascii="Times New Roman" w:hAnsi="Times New Roman" w:cs="Times New Roman"/>
        </w:rPr>
        <w:t xml:space="preserve"> would be needed</w:t>
      </w:r>
      <w:r w:rsidRPr="00A336DB">
        <w:rPr>
          <w:rFonts w:ascii="Times New Roman" w:hAnsi="Times New Roman" w:cs="Times New Roman"/>
        </w:rPr>
        <w:t xml:space="preserve"> in 2040 than today.</w:t>
      </w:r>
    </w:p>
    <w:p w14:paraId="0807ACC5" w14:textId="77777777" w:rsidR="00A336DB" w:rsidRDefault="00A336DB" w:rsidP="00A336DB">
      <w:pPr>
        <w:tabs>
          <w:tab w:val="left" w:pos="220"/>
          <w:tab w:val="left" w:pos="720"/>
        </w:tabs>
        <w:autoSpaceDE w:val="0"/>
        <w:autoSpaceDN w:val="0"/>
        <w:adjustRightInd w:val="0"/>
        <w:rPr>
          <w:rFonts w:ascii="Times New Roman" w:hAnsi="Times New Roman" w:cs="Times New Roman"/>
        </w:rPr>
      </w:pPr>
    </w:p>
    <w:p w14:paraId="297C5F15" w14:textId="297BB3FF" w:rsidR="00A336DB" w:rsidRDefault="00A336DB" w:rsidP="00A336DB">
      <w:p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According to the IEA report, EVs and battery storage will drive a massive growth in demand for many minerals with lithium demand growing by over 40 times by 2040. In the same period, solar and wind power generation will drive a 300-700% growth in demand for the minerals used in turbines and solar panels. Although investment in these technologies has been timid until recently, as governments implement more rapid and aggressive climate change mitigation strategies, prices have risen and the incentive structure for investors has changed.</w:t>
      </w:r>
    </w:p>
    <w:p w14:paraId="09B4FA7B" w14:textId="7EFA070A" w:rsidR="00A336DB" w:rsidRDefault="00A336DB" w:rsidP="00A336DB">
      <w:pPr>
        <w:tabs>
          <w:tab w:val="left" w:pos="220"/>
          <w:tab w:val="left" w:pos="720"/>
        </w:tabs>
        <w:autoSpaceDE w:val="0"/>
        <w:autoSpaceDN w:val="0"/>
        <w:adjustRightInd w:val="0"/>
        <w:rPr>
          <w:rFonts w:ascii="Times New Roman" w:hAnsi="Times New Roman" w:cs="Times New Roman"/>
        </w:rPr>
      </w:pPr>
    </w:p>
    <w:p w14:paraId="62456A7B" w14:textId="77777777" w:rsidR="00A336DB" w:rsidRPr="00A336DB" w:rsidRDefault="00A336DB" w:rsidP="00A336DB">
      <w:p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Taking a closer look at lithium, an essential element in EV battery technology, it is estimated that </w:t>
      </w:r>
    </w:p>
    <w:p w14:paraId="58ECF9FA" w14:textId="6DE34DBA" w:rsidR="00A336DB" w:rsidRDefault="00A336DB" w:rsidP="00A336DB">
      <w:p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by </w:t>
      </w:r>
      <w:r w:rsidRPr="00A336DB">
        <w:rPr>
          <w:rFonts w:ascii="Times New Roman" w:hAnsi="Times New Roman" w:cs="Times New Roman"/>
        </w:rPr>
        <w:t xml:space="preserve">2030, </w:t>
      </w:r>
      <w:r>
        <w:rPr>
          <w:rFonts w:ascii="Times New Roman" w:hAnsi="Times New Roman" w:cs="Times New Roman"/>
        </w:rPr>
        <w:t>“</w:t>
      </w:r>
      <w:r w:rsidRPr="00A336DB">
        <w:rPr>
          <w:rFonts w:ascii="Times New Roman" w:hAnsi="Times New Roman" w:cs="Times New Roman"/>
        </w:rPr>
        <w:t>the global demand for lithium is expected to surpass two million metric tons of lithium carbonate equivalent, more than doubling the demand forecast for 2025</w:t>
      </w:r>
      <w:r w:rsidR="00805011">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4"/>
      </w:r>
      <w:r>
        <w:rPr>
          <w:rFonts w:ascii="Times New Roman" w:hAnsi="Times New Roman" w:cs="Times New Roman"/>
        </w:rPr>
        <w:t xml:space="preserve"> To put this in perspective, total global production of lithium </w:t>
      </w:r>
      <w:proofErr w:type="spellStart"/>
      <w:r>
        <w:rPr>
          <w:rFonts w:ascii="Times New Roman" w:hAnsi="Times New Roman" w:cs="Times New Roman"/>
        </w:rPr>
        <w:t>in</w:t>
      </w:r>
      <w:proofErr w:type="spellEnd"/>
      <w:r>
        <w:rPr>
          <w:rFonts w:ascii="Times New Roman" w:hAnsi="Times New Roman" w:cs="Times New Roman"/>
        </w:rPr>
        <w:t xml:space="preserve"> 2020 was only 100,000 metric tons. </w:t>
      </w:r>
    </w:p>
    <w:p w14:paraId="4429B901" w14:textId="3FC3C30A" w:rsidR="002E4187" w:rsidRDefault="002E4187" w:rsidP="00A336DB">
      <w:pPr>
        <w:tabs>
          <w:tab w:val="left" w:pos="220"/>
          <w:tab w:val="left" w:pos="720"/>
        </w:tabs>
        <w:autoSpaceDE w:val="0"/>
        <w:autoSpaceDN w:val="0"/>
        <w:adjustRightInd w:val="0"/>
        <w:rPr>
          <w:rFonts w:ascii="Times New Roman" w:hAnsi="Times New Roman" w:cs="Times New Roman"/>
        </w:rPr>
      </w:pPr>
    </w:p>
    <w:p w14:paraId="541E21EF" w14:textId="210A2E54" w:rsidR="002E4187" w:rsidRDefault="002E4187" w:rsidP="00A336DB">
      <w:p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According to a recent report by graduate students at Georgetown University</w:t>
      </w:r>
      <w:r w:rsidR="00D54F5B">
        <w:rPr>
          <w:rFonts w:ascii="Times New Roman" w:hAnsi="Times New Roman" w:cs="Times New Roman"/>
        </w:rPr>
        <w:t>’s McDonough School of Business</w:t>
      </w:r>
      <w:r>
        <w:rPr>
          <w:rFonts w:ascii="Times New Roman" w:hAnsi="Times New Roman" w:cs="Times New Roman"/>
        </w:rPr>
        <w:t xml:space="preserve">, the demand for lithium from electric vehicle sales alone by 2030 will exceed current global production: </w:t>
      </w:r>
    </w:p>
    <w:p w14:paraId="26B7E3DB" w14:textId="4B61C6AC" w:rsidR="002E4187" w:rsidRPr="002E4187" w:rsidRDefault="002E4187" w:rsidP="00861C5F">
      <w:pPr>
        <w:ind w:left="720"/>
        <w:rPr>
          <w:rFonts w:ascii="Times New Roman" w:eastAsia="Times New Roman" w:hAnsi="Times New Roman" w:cs="Times New Roman"/>
        </w:rPr>
      </w:pPr>
      <w:r w:rsidRPr="002E4187">
        <w:rPr>
          <w:rFonts w:ascii="Times New Roman" w:hAnsi="Times New Roman" w:cs="Times New Roman"/>
        </w:rPr>
        <w:t>“</w:t>
      </w:r>
      <w:r w:rsidRPr="00861C5F">
        <w:rPr>
          <w:rFonts w:ascii="Times New Roman" w:eastAsia="Times New Roman" w:hAnsi="Times New Roman" w:cs="Times New Roman"/>
          <w:color w:val="201F1E"/>
          <w:shd w:val="clear" w:color="auto" w:fill="FFFFFF"/>
        </w:rPr>
        <w:t>Global lithium production output in 2021 was around 90kt. By extrapolating on historical trends of personal vehicle sales in the US and considering the chemical makeup of a typical lithium-ion battery, which holds about 8kg of lithium, we have calculated that the US will require 68kt of lithium in the year 2030 alone if half of all its vehicles sold are EVs. The pioneering EV and clean energy company Tesla Inc. announced its ambition to sell 20 million EVs per year by 2030, a feat that will require Tesla alone to have access to 160kt of lithium for just one single year of sales by 2030. Demand for other critical minerals is also soaring, and EV batteries reflect just one application of these widely-applied resources."</w:t>
      </w:r>
      <w:r>
        <w:rPr>
          <w:rStyle w:val="FootnoteReference"/>
          <w:rFonts w:ascii="Times New Roman" w:eastAsia="Times New Roman" w:hAnsi="Times New Roman" w:cs="Times New Roman"/>
          <w:color w:val="201F1E"/>
          <w:shd w:val="clear" w:color="auto" w:fill="FFFFFF"/>
        </w:rPr>
        <w:footnoteReference w:id="5"/>
      </w:r>
    </w:p>
    <w:p w14:paraId="327D66A7" w14:textId="0FD7DC27" w:rsidR="00A336DB" w:rsidRDefault="00A336DB" w:rsidP="00A336DB">
      <w:pPr>
        <w:tabs>
          <w:tab w:val="left" w:pos="220"/>
          <w:tab w:val="left" w:pos="720"/>
        </w:tabs>
        <w:autoSpaceDE w:val="0"/>
        <w:autoSpaceDN w:val="0"/>
        <w:adjustRightInd w:val="0"/>
        <w:rPr>
          <w:rFonts w:ascii="Times New Roman" w:hAnsi="Times New Roman" w:cs="Times New Roman"/>
        </w:rPr>
      </w:pPr>
    </w:p>
    <w:p w14:paraId="193F4671" w14:textId="77777777" w:rsidR="00A336DB" w:rsidRDefault="00A336DB" w:rsidP="00A336DB">
      <w:pPr>
        <w:rPr>
          <w:rFonts w:ascii="Times New Roman" w:hAnsi="Times New Roman" w:cs="Times New Roman"/>
        </w:rPr>
      </w:pPr>
      <w:r>
        <w:rPr>
          <w:rFonts w:ascii="Times New Roman" w:hAnsi="Times New Roman" w:cs="Times New Roman"/>
        </w:rPr>
        <w:t xml:space="preserve">As we noted in </w:t>
      </w:r>
      <w:r w:rsidRPr="00A336DB">
        <w:rPr>
          <w:rFonts w:ascii="Times New Roman" w:hAnsi="Times New Roman" w:cs="Times New Roman"/>
          <w:i/>
          <w:iCs/>
        </w:rPr>
        <w:t>The Mosaic Approach</w:t>
      </w:r>
      <w:r>
        <w:rPr>
          <w:rFonts w:ascii="Times New Roman" w:hAnsi="Times New Roman" w:cs="Times New Roman"/>
        </w:rPr>
        <w:t xml:space="preserve">: </w:t>
      </w:r>
    </w:p>
    <w:p w14:paraId="67258295" w14:textId="0666FB5E" w:rsidR="00A336DB" w:rsidRPr="00A336DB" w:rsidRDefault="00A336DB" w:rsidP="00A336DB">
      <w:pPr>
        <w:ind w:left="720"/>
        <w:rPr>
          <w:rFonts w:ascii="Times New Roman" w:hAnsi="Times New Roman" w:cs="Times New Roman"/>
        </w:rPr>
      </w:pPr>
      <w:r>
        <w:rPr>
          <w:rFonts w:ascii="Times New Roman" w:hAnsi="Times New Roman" w:cs="Times New Roman"/>
        </w:rPr>
        <w:t>“</w:t>
      </w:r>
      <w:r w:rsidRPr="00A336DB">
        <w:rPr>
          <w:rFonts w:ascii="Times New Roman" w:hAnsi="Times New Roman" w:cs="Times New Roman"/>
        </w:rPr>
        <w:t xml:space="preserve">While these predictions take place over the course of decades, exponential increases in demand for lithium are already happening. In a 2021 quarterly earnings report SQM, the second largest lithium producing company in the world, predicted global lithium demand to increase by nearly 50% in 2021. Already unable to keep pace, considering lag time, </w:t>
      </w:r>
      <w:r w:rsidRPr="00A336DB">
        <w:rPr>
          <w:rFonts w:ascii="Times New Roman" w:hAnsi="Times New Roman" w:cs="Times New Roman"/>
        </w:rPr>
        <w:lastRenderedPageBreak/>
        <w:t>permitting challenges and underinvestment in infrastructure, technological innovation, and human capital, this issue will continue to compound.</w:t>
      </w:r>
      <w:r>
        <w:rPr>
          <w:rFonts w:ascii="Times New Roman" w:hAnsi="Times New Roman" w:cs="Times New Roman"/>
        </w:rPr>
        <w:t>”</w:t>
      </w:r>
      <w:r>
        <w:rPr>
          <w:rStyle w:val="FootnoteReference"/>
          <w:rFonts w:ascii="Times New Roman" w:hAnsi="Times New Roman" w:cs="Times New Roman"/>
        </w:rPr>
        <w:footnoteReference w:id="6"/>
      </w:r>
      <w:r w:rsidRPr="00A336DB">
        <w:rPr>
          <w:rFonts w:ascii="Times New Roman" w:hAnsi="Times New Roman" w:cs="Times New Roman"/>
        </w:rPr>
        <w:t xml:space="preserve"> </w:t>
      </w:r>
    </w:p>
    <w:p w14:paraId="1CD2683D" w14:textId="77777777" w:rsidR="00A336DB" w:rsidRDefault="00A336DB" w:rsidP="00A336DB">
      <w:pPr>
        <w:rPr>
          <w:rFonts w:ascii="Times New Roman" w:hAnsi="Times New Roman" w:cs="Times New Roman"/>
        </w:rPr>
      </w:pPr>
    </w:p>
    <w:p w14:paraId="1A477BFD" w14:textId="7EC933BD" w:rsidR="00A336DB" w:rsidRPr="00A336DB" w:rsidRDefault="00A336DB" w:rsidP="00A336DB">
      <w:pPr>
        <w:rPr>
          <w:rFonts w:ascii="Times New Roman" w:eastAsia="Times New Roman" w:hAnsi="Times New Roman" w:cs="Times New Roman"/>
        </w:rPr>
      </w:pPr>
      <w:r>
        <w:rPr>
          <w:rFonts w:ascii="Times New Roman" w:hAnsi="Times New Roman" w:cs="Times New Roman"/>
        </w:rPr>
        <w:t xml:space="preserve">The scale of the challenge must therefore not be underestimated. One way to grasp that scale has been put forward by Guillaume </w:t>
      </w:r>
      <w:proofErr w:type="spellStart"/>
      <w:r>
        <w:rPr>
          <w:rFonts w:ascii="Times New Roman" w:hAnsi="Times New Roman" w:cs="Times New Roman"/>
        </w:rPr>
        <w:t>Pitron</w:t>
      </w:r>
      <w:proofErr w:type="spellEnd"/>
      <w:r>
        <w:rPr>
          <w:rFonts w:ascii="Times New Roman" w:hAnsi="Times New Roman" w:cs="Times New Roman"/>
        </w:rPr>
        <w:t xml:space="preserve"> in</w:t>
      </w:r>
      <w:r w:rsidRPr="00A336DB">
        <w:rPr>
          <w:rFonts w:ascii="PT Serif" w:hAnsi="PT Serif"/>
          <w:color w:val="4D4D4D"/>
          <w:bdr w:val="none" w:sz="0" w:space="0" w:color="auto" w:frame="1"/>
          <w:shd w:val="clear" w:color="auto" w:fill="FFFFFF"/>
        </w:rPr>
        <w:t xml:space="preserve"> </w:t>
      </w:r>
      <w:r w:rsidRPr="00A336DB">
        <w:rPr>
          <w:rFonts w:ascii="Times New Roman" w:eastAsia="Times New Roman" w:hAnsi="Times New Roman" w:cs="Times New Roman"/>
          <w:i/>
          <w:iCs/>
          <w:color w:val="000000" w:themeColor="text1"/>
          <w:bdr w:val="none" w:sz="0" w:space="0" w:color="auto" w:frame="1"/>
          <w:shd w:val="clear" w:color="auto" w:fill="FFFFFF"/>
        </w:rPr>
        <w:t>The Rare Metals War</w:t>
      </w:r>
      <w:r>
        <w:rPr>
          <w:rFonts w:ascii="Times New Roman" w:hAnsi="Times New Roman" w:cs="Times New Roman"/>
        </w:rPr>
        <w:t>,</w:t>
      </w:r>
      <w:r>
        <w:rPr>
          <w:rStyle w:val="FootnoteReference"/>
          <w:rFonts w:ascii="Times New Roman" w:hAnsi="Times New Roman" w:cs="Times New Roman"/>
        </w:rPr>
        <w:footnoteReference w:id="7"/>
      </w:r>
      <w:r>
        <w:rPr>
          <w:rFonts w:ascii="Times New Roman" w:hAnsi="Times New Roman" w:cs="Times New Roman"/>
        </w:rPr>
        <w:t xml:space="preserve">  who notes that, with a doubling of demand for REEs every 15 years: </w:t>
      </w:r>
      <w:r w:rsidRPr="00A336DB">
        <w:rPr>
          <w:rFonts w:ascii="Times New Roman" w:hAnsi="Times New Roman" w:cs="Times New Roman"/>
        </w:rPr>
        <w:t>“At this rate,</w:t>
      </w:r>
      <w:r>
        <w:rPr>
          <w:rFonts w:ascii="Times New Roman" w:hAnsi="Times New Roman" w:cs="Times New Roman"/>
        </w:rPr>
        <w:t xml:space="preserve"> </w:t>
      </w:r>
      <w:r w:rsidRPr="00A336DB">
        <w:rPr>
          <w:rFonts w:ascii="Times New Roman" w:hAnsi="Times New Roman" w:cs="Times New Roman"/>
        </w:rPr>
        <w:t>over the next 30 years we… will need to mine more mineral ores than humans have extracted over the last 70,000 years.”</w:t>
      </w:r>
      <w:r w:rsidRPr="00A336DB">
        <w:rPr>
          <w:rStyle w:val="FootnoteReference"/>
          <w:rFonts w:ascii="Times New Roman" w:hAnsi="Times New Roman" w:cs="Times New Roman"/>
        </w:rPr>
        <w:footnoteReference w:id="8"/>
      </w:r>
    </w:p>
    <w:p w14:paraId="6E47FACC" w14:textId="436C5035" w:rsidR="00A336DB" w:rsidRDefault="00A336DB" w:rsidP="00A336DB">
      <w:pPr>
        <w:rPr>
          <w:rFonts w:ascii="Times New Roman" w:hAnsi="Times New Roman" w:cs="Times New Roman"/>
        </w:rPr>
      </w:pPr>
    </w:p>
    <w:p w14:paraId="1028939B" w14:textId="10CB51C9" w:rsidR="00A336DB" w:rsidRPr="00A336DB" w:rsidRDefault="00A336DB" w:rsidP="00A336DB">
      <w:pPr>
        <w:rPr>
          <w:rFonts w:ascii="Times New Roman" w:hAnsi="Times New Roman" w:cs="Times New Roman"/>
          <w:b/>
          <w:bCs/>
        </w:rPr>
      </w:pPr>
      <w:r>
        <w:rPr>
          <w:rFonts w:ascii="Times New Roman" w:hAnsi="Times New Roman" w:cs="Times New Roman"/>
          <w:b/>
          <w:bCs/>
        </w:rPr>
        <w:t xml:space="preserve">Addressing rising demand: the need for an integrated approach. </w:t>
      </w:r>
    </w:p>
    <w:p w14:paraId="36F54422" w14:textId="5A9CC327" w:rsidR="00A336DB" w:rsidRPr="00A336DB" w:rsidRDefault="00A336DB" w:rsidP="00A336DB">
      <w:pPr>
        <w:rPr>
          <w:rFonts w:ascii="Times New Roman" w:hAnsi="Times New Roman" w:cs="Times New Roman"/>
        </w:rPr>
      </w:pPr>
      <w:r>
        <w:rPr>
          <w:rFonts w:ascii="Times New Roman" w:hAnsi="Times New Roman" w:cs="Times New Roman"/>
        </w:rPr>
        <w:t xml:space="preserve">Given </w:t>
      </w:r>
      <w:r w:rsidRPr="00A336DB">
        <w:rPr>
          <w:rFonts w:ascii="Times New Roman" w:hAnsi="Times New Roman" w:cs="Times New Roman"/>
        </w:rPr>
        <w:t>the scale of demand growth</w:t>
      </w:r>
      <w:r>
        <w:rPr>
          <w:rFonts w:ascii="Times New Roman" w:hAnsi="Times New Roman" w:cs="Times New Roman"/>
        </w:rPr>
        <w:t>,</w:t>
      </w:r>
      <w:r w:rsidRPr="00A336DB">
        <w:rPr>
          <w:rFonts w:ascii="Times New Roman" w:hAnsi="Times New Roman" w:cs="Times New Roman"/>
        </w:rPr>
        <w:t xml:space="preserve"> </w:t>
      </w:r>
      <w:r>
        <w:rPr>
          <w:rFonts w:ascii="Times New Roman" w:hAnsi="Times New Roman" w:cs="Times New Roman"/>
        </w:rPr>
        <w:t>it should be clear that</w:t>
      </w:r>
      <w:r w:rsidRPr="00A336DB">
        <w:rPr>
          <w:rFonts w:ascii="Times New Roman" w:hAnsi="Times New Roman" w:cs="Times New Roman"/>
        </w:rPr>
        <w:t xml:space="preserve"> mere tinkering around with critical minerals policy is unlikely to make a sufficient impact. What is needed today is a “whole of society” approach that incorporates all levels of government, the private sector, research and educational institutions</w:t>
      </w:r>
      <w:r w:rsidR="00805011">
        <w:rPr>
          <w:rFonts w:ascii="Times New Roman" w:hAnsi="Times New Roman" w:cs="Times New Roman"/>
        </w:rPr>
        <w:t>,</w:t>
      </w:r>
      <w:r w:rsidRPr="00A336DB">
        <w:rPr>
          <w:rFonts w:ascii="Times New Roman" w:hAnsi="Times New Roman" w:cs="Times New Roman"/>
        </w:rPr>
        <w:t xml:space="preserve"> and end-users of critical minerals. This means adopting a holistic, open-minded approach to the issue, embracing (in order of priority):</w:t>
      </w:r>
    </w:p>
    <w:p w14:paraId="7A439B06" w14:textId="77777777" w:rsidR="00A336DB" w:rsidRPr="00A336DB" w:rsidRDefault="00A336DB" w:rsidP="00A336DB">
      <w:pPr>
        <w:pStyle w:val="ListParagraph"/>
        <w:numPr>
          <w:ilvl w:val="1"/>
          <w:numId w:val="1"/>
        </w:numPr>
        <w:rPr>
          <w:rFonts w:ascii="Times New Roman" w:hAnsi="Times New Roman" w:cs="Times New Roman"/>
        </w:rPr>
      </w:pPr>
      <w:r w:rsidRPr="00A336DB">
        <w:rPr>
          <w:rFonts w:ascii="Times New Roman" w:hAnsi="Times New Roman" w:cs="Times New Roman"/>
        </w:rPr>
        <w:t>the development of new resources;</w:t>
      </w:r>
    </w:p>
    <w:p w14:paraId="0E9F2ABF" w14:textId="77777777" w:rsidR="00A336DB" w:rsidRPr="00A336DB" w:rsidRDefault="00A336DB" w:rsidP="00A336DB">
      <w:pPr>
        <w:pStyle w:val="ListParagraph"/>
        <w:numPr>
          <w:ilvl w:val="1"/>
          <w:numId w:val="1"/>
        </w:numPr>
        <w:rPr>
          <w:rFonts w:ascii="Times New Roman" w:hAnsi="Times New Roman" w:cs="Times New Roman"/>
        </w:rPr>
      </w:pPr>
      <w:r w:rsidRPr="00A336DB">
        <w:rPr>
          <w:rFonts w:ascii="Times New Roman" w:hAnsi="Times New Roman" w:cs="Times New Roman"/>
        </w:rPr>
        <w:t>new forms of extraction</w:t>
      </w:r>
      <w:r>
        <w:rPr>
          <w:rFonts w:ascii="Times New Roman" w:hAnsi="Times New Roman" w:cs="Times New Roman"/>
        </w:rPr>
        <w:t xml:space="preserve"> and processing</w:t>
      </w:r>
      <w:r w:rsidRPr="00A336DB">
        <w:rPr>
          <w:rFonts w:ascii="Times New Roman" w:hAnsi="Times New Roman" w:cs="Times New Roman"/>
        </w:rPr>
        <w:t>;</w:t>
      </w:r>
    </w:p>
    <w:p w14:paraId="0B3794B7" w14:textId="77777777" w:rsidR="00A336DB" w:rsidRPr="00A336DB" w:rsidRDefault="00A336DB" w:rsidP="00A336DB">
      <w:pPr>
        <w:pStyle w:val="ListParagraph"/>
        <w:numPr>
          <w:ilvl w:val="1"/>
          <w:numId w:val="1"/>
        </w:numPr>
        <w:rPr>
          <w:rFonts w:ascii="Times New Roman" w:hAnsi="Times New Roman" w:cs="Times New Roman"/>
        </w:rPr>
      </w:pPr>
      <w:r w:rsidRPr="00A336DB">
        <w:rPr>
          <w:rFonts w:ascii="Times New Roman" w:hAnsi="Times New Roman" w:cs="Times New Roman"/>
        </w:rPr>
        <w:t xml:space="preserve">new technologies both in extraction and applications; </w:t>
      </w:r>
    </w:p>
    <w:p w14:paraId="6E50F437" w14:textId="77777777" w:rsidR="00A336DB" w:rsidRPr="00A336DB" w:rsidRDefault="00A336DB" w:rsidP="00A336DB">
      <w:pPr>
        <w:pStyle w:val="ListParagraph"/>
        <w:numPr>
          <w:ilvl w:val="1"/>
          <w:numId w:val="1"/>
        </w:numPr>
        <w:rPr>
          <w:rFonts w:ascii="Times New Roman" w:hAnsi="Times New Roman" w:cs="Times New Roman"/>
        </w:rPr>
      </w:pPr>
      <w:r w:rsidRPr="00A336DB">
        <w:rPr>
          <w:rFonts w:ascii="Times New Roman" w:hAnsi="Times New Roman" w:cs="Times New Roman"/>
        </w:rPr>
        <w:t xml:space="preserve">energy efficiency models; and, </w:t>
      </w:r>
    </w:p>
    <w:p w14:paraId="32B5C39D" w14:textId="77777777" w:rsidR="00A336DB" w:rsidRPr="00A336DB" w:rsidRDefault="00A336DB" w:rsidP="00A336DB">
      <w:pPr>
        <w:pStyle w:val="ListParagraph"/>
        <w:numPr>
          <w:ilvl w:val="1"/>
          <w:numId w:val="1"/>
        </w:numPr>
        <w:rPr>
          <w:rFonts w:ascii="Times New Roman" w:hAnsi="Times New Roman" w:cs="Times New Roman"/>
        </w:rPr>
      </w:pPr>
      <w:r w:rsidRPr="00A336DB">
        <w:rPr>
          <w:rFonts w:ascii="Times New Roman" w:hAnsi="Times New Roman" w:cs="Times New Roman"/>
        </w:rPr>
        <w:t xml:space="preserve">recycling and waste reduction. </w:t>
      </w:r>
    </w:p>
    <w:p w14:paraId="021E2B97" w14:textId="77777777" w:rsidR="00A336DB" w:rsidRPr="00A336DB" w:rsidRDefault="00A336DB" w:rsidP="00A336DB">
      <w:pPr>
        <w:rPr>
          <w:rFonts w:ascii="Times New Roman" w:hAnsi="Times New Roman" w:cs="Times New Roman"/>
        </w:rPr>
      </w:pPr>
      <w:r w:rsidRPr="00A336DB">
        <w:rPr>
          <w:rFonts w:ascii="Times New Roman" w:hAnsi="Times New Roman" w:cs="Times New Roman"/>
        </w:rPr>
        <w:t>Ignoring any of these elements will make it impossible to build the new energy model and maintain it.</w:t>
      </w:r>
    </w:p>
    <w:p w14:paraId="52338D35" w14:textId="7B621502" w:rsidR="00A336DB" w:rsidRDefault="00A336DB" w:rsidP="00A336DB">
      <w:pPr>
        <w:rPr>
          <w:rFonts w:ascii="Times New Roman" w:hAnsi="Times New Roman" w:cs="Times New Roman"/>
        </w:rPr>
      </w:pPr>
    </w:p>
    <w:p w14:paraId="7CCCD799" w14:textId="3F82E61D" w:rsidR="00A336DB" w:rsidRDefault="00A336DB" w:rsidP="00A336DB">
      <w:pPr>
        <w:rPr>
          <w:rFonts w:ascii="Times New Roman" w:hAnsi="Times New Roman" w:cs="Times New Roman"/>
        </w:rPr>
      </w:pPr>
      <w:r>
        <w:rPr>
          <w:rFonts w:ascii="Times New Roman" w:hAnsi="Times New Roman" w:cs="Times New Roman"/>
        </w:rPr>
        <w:t>As I have argued elsewhere,</w:t>
      </w:r>
      <w:r>
        <w:rPr>
          <w:rStyle w:val="FootnoteReference"/>
          <w:rFonts w:ascii="Times New Roman" w:hAnsi="Times New Roman" w:cs="Times New Roman"/>
        </w:rPr>
        <w:footnoteReference w:id="9"/>
      </w:r>
      <w:r>
        <w:rPr>
          <w:rFonts w:ascii="Times New Roman" w:hAnsi="Times New Roman" w:cs="Times New Roman"/>
        </w:rPr>
        <w:t xml:space="preserve">  there are significant barriers that must be overcome to encourage higher rates of investment and production in the mining of critical minerals here in the US. Permitting remains a major concern, along with human capital shortages and price volatility, but there is a growing sense that, with the right conditions, the extractive industries can rise to the challenge. This will require close coordination between government and the mining industry, with policy makers recognizing that the energy transition in by necessity mineral-intensive, and that steps must be taken to encourage more a more secure critical mineral supply chain.</w:t>
      </w:r>
    </w:p>
    <w:p w14:paraId="513B7C51" w14:textId="77777777" w:rsidR="00A336DB" w:rsidRDefault="00A336DB" w:rsidP="00A336DB">
      <w:pPr>
        <w:rPr>
          <w:rFonts w:ascii="Times New Roman" w:hAnsi="Times New Roman" w:cs="Times New Roman"/>
        </w:rPr>
      </w:pPr>
    </w:p>
    <w:p w14:paraId="706F749B" w14:textId="247BF39C" w:rsidR="00A336DB" w:rsidRDefault="00A336DB" w:rsidP="00A336DB">
      <w:pPr>
        <w:rPr>
          <w:rFonts w:ascii="Times New Roman" w:hAnsi="Times New Roman" w:cs="Times New Roman"/>
        </w:rPr>
      </w:pPr>
      <w:r>
        <w:rPr>
          <w:rFonts w:ascii="Times New Roman" w:hAnsi="Times New Roman" w:cs="Times New Roman"/>
        </w:rPr>
        <w:t xml:space="preserve">The recycling of critical minerals has been identified by many, including some in the current administration, as an essential factor in the future of critical minerals supply. And it is true that, because minerals are a component of energy infrastructure and can be recovered and recycled, recycling will play a role. However, </w:t>
      </w:r>
      <w:r w:rsidRPr="00A336DB">
        <w:rPr>
          <w:rFonts w:ascii="Times New Roman" w:hAnsi="Times New Roman" w:cs="Times New Roman"/>
        </w:rPr>
        <w:t>there is a simple stark reality that must be addressed. Thus far</w:t>
      </w:r>
      <w:r w:rsidR="00805011">
        <w:rPr>
          <w:rFonts w:ascii="Times New Roman" w:hAnsi="Times New Roman" w:cs="Times New Roman"/>
        </w:rPr>
        <w:t>,</w:t>
      </w:r>
      <w:r w:rsidRPr="00A336DB">
        <w:rPr>
          <w:rFonts w:ascii="Times New Roman" w:hAnsi="Times New Roman" w:cs="Times New Roman"/>
        </w:rPr>
        <w:t xml:space="preserve"> policy makers have largely ignored the </w:t>
      </w:r>
      <w:r>
        <w:rPr>
          <w:rFonts w:ascii="Times New Roman" w:hAnsi="Times New Roman" w:cs="Times New Roman"/>
        </w:rPr>
        <w:t>fact</w:t>
      </w:r>
      <w:r w:rsidRPr="00A336DB">
        <w:rPr>
          <w:rFonts w:ascii="Times New Roman" w:hAnsi="Times New Roman" w:cs="Times New Roman"/>
        </w:rPr>
        <w:t xml:space="preserve"> that, although recycling will play an increasingly important role, materials can only be recycled once they have entered the system. This means that as demand grows exponentially, it is logically and practically impossible for recycling to satisfy that demand until there are more raw materials are in the system that current demand. This is a simple point, but one that must be stated and restated. </w:t>
      </w:r>
    </w:p>
    <w:p w14:paraId="485F621D" w14:textId="77777777" w:rsidR="00A336DB" w:rsidRDefault="00A336DB" w:rsidP="00A336DB">
      <w:pPr>
        <w:rPr>
          <w:rFonts w:ascii="Times New Roman" w:hAnsi="Times New Roman" w:cs="Times New Roman"/>
        </w:rPr>
      </w:pPr>
    </w:p>
    <w:p w14:paraId="66BA681B" w14:textId="3D98DA1A" w:rsidR="00A336DB" w:rsidRPr="00A336DB" w:rsidRDefault="00A336DB" w:rsidP="00A336DB">
      <w:pPr>
        <w:rPr>
          <w:rFonts w:ascii="Times New Roman" w:hAnsi="Times New Roman" w:cs="Times New Roman"/>
        </w:rPr>
      </w:pPr>
      <w:r>
        <w:rPr>
          <w:rFonts w:ascii="Times New Roman" w:hAnsi="Times New Roman" w:cs="Times New Roman"/>
        </w:rPr>
        <w:lastRenderedPageBreak/>
        <w:t>The IEA estimates that “</w:t>
      </w:r>
      <w:r w:rsidRPr="00A336DB">
        <w:rPr>
          <w:rFonts w:ascii="Times New Roman" w:hAnsi="Times New Roman" w:cs="Times New Roman"/>
        </w:rPr>
        <w:t xml:space="preserve">by 2040, recycled quantities of copper, lithium, nickel and cobalt from spent batteries could reduce combined primary supply requirements for these minerals by around 10%.” That is not insignificant, but it is vital to recognize that 90% of future demand growth must be satisfied by newly mined resources. </w:t>
      </w:r>
      <w:r w:rsidR="00D54F5B">
        <w:rPr>
          <w:rFonts w:ascii="Times New Roman" w:hAnsi="Times New Roman" w:cs="Times New Roman"/>
        </w:rPr>
        <w:t>To give an indication of the potential and limitations of future recycling for critical minerals, under current conditions, only 3</w:t>
      </w:r>
      <w:r w:rsidR="0001380D">
        <w:rPr>
          <w:rFonts w:ascii="Times New Roman" w:hAnsi="Times New Roman" w:cs="Times New Roman"/>
        </w:rPr>
        <w:t>5</w:t>
      </w:r>
      <w:r w:rsidR="00D54F5B">
        <w:rPr>
          <w:rFonts w:ascii="Times New Roman" w:hAnsi="Times New Roman" w:cs="Times New Roman"/>
        </w:rPr>
        <w:t xml:space="preserve">% of available copper </w:t>
      </w:r>
      <w:r w:rsidR="00861C5F">
        <w:rPr>
          <w:rFonts w:ascii="Times New Roman" w:hAnsi="Times New Roman" w:cs="Times New Roman"/>
        </w:rPr>
        <w:t>is recycled today.</w:t>
      </w:r>
      <w:r w:rsidR="0001380D">
        <w:rPr>
          <w:rStyle w:val="FootnoteReference"/>
          <w:rFonts w:ascii="Times New Roman" w:hAnsi="Times New Roman" w:cs="Times New Roman"/>
        </w:rPr>
        <w:footnoteReference w:id="10"/>
      </w:r>
      <w:r w:rsidR="00861C5F">
        <w:rPr>
          <w:rFonts w:ascii="Times New Roman" w:hAnsi="Times New Roman" w:cs="Times New Roman"/>
        </w:rPr>
        <w:t xml:space="preserve"> To make matters worse, as the vehicle fleet is electrified, the minerals that are used to produce batteries will not be recycled for at least ten years, as car owners get the maximum use out of their vehicles. This lag means that the full potential for EV battery recycling will only be realized a decade after massive electrification of the fleet begins. </w:t>
      </w:r>
      <w:r w:rsidRPr="00A336DB">
        <w:rPr>
          <w:rFonts w:ascii="Times New Roman" w:hAnsi="Times New Roman" w:cs="Times New Roman"/>
        </w:rPr>
        <w:t xml:space="preserve">As we argued in </w:t>
      </w:r>
      <w:r w:rsidRPr="00A336DB">
        <w:rPr>
          <w:rFonts w:ascii="Times New Roman" w:hAnsi="Times New Roman" w:cs="Times New Roman"/>
          <w:i/>
          <w:iCs/>
        </w:rPr>
        <w:t>The Mosaic Approach</w:t>
      </w:r>
      <w:r w:rsidRPr="00A336DB">
        <w:rPr>
          <w:rFonts w:ascii="Times New Roman" w:hAnsi="Times New Roman" w:cs="Times New Roman"/>
        </w:rPr>
        <w:t>, “</w:t>
      </w:r>
      <w:r w:rsidRPr="00A336DB">
        <w:rPr>
          <w:rFonts w:ascii="Times New Roman" w:hAnsi="Times New Roman" w:cs="Times New Roman"/>
          <w:color w:val="000000"/>
        </w:rPr>
        <w:t>Given the expected rapidly rising demand for critical minerals, however, recycling will only ever be able to cover a modest percentage of all demand for critical minerals, and the development of new sources must be a priority.”</w:t>
      </w:r>
    </w:p>
    <w:p w14:paraId="7F7CA256" w14:textId="77777777" w:rsidR="00A336DB" w:rsidRPr="00A336DB" w:rsidRDefault="00A336DB" w:rsidP="00A336DB">
      <w:pPr>
        <w:rPr>
          <w:rFonts w:ascii="Times New Roman" w:hAnsi="Times New Roman" w:cs="Times New Roman"/>
        </w:rPr>
      </w:pPr>
    </w:p>
    <w:p w14:paraId="349EEF4F" w14:textId="14A39077" w:rsidR="00A336DB" w:rsidRPr="00A336DB" w:rsidRDefault="00A336DB" w:rsidP="00A336DB">
      <w:pPr>
        <w:rPr>
          <w:rFonts w:ascii="Times New Roman" w:hAnsi="Times New Roman" w:cs="Times New Roman"/>
          <w:b/>
          <w:bCs/>
        </w:rPr>
      </w:pPr>
      <w:r w:rsidRPr="00A336DB">
        <w:rPr>
          <w:rFonts w:ascii="Times New Roman" w:hAnsi="Times New Roman" w:cs="Times New Roman"/>
          <w:b/>
          <w:bCs/>
        </w:rPr>
        <w:t>Uncertainty and the central place of the extractive industries</w:t>
      </w:r>
    </w:p>
    <w:p w14:paraId="3B7421A9" w14:textId="77777777" w:rsidR="00A336DB" w:rsidRPr="00A336DB" w:rsidRDefault="00A336DB" w:rsidP="00A336DB">
      <w:pPr>
        <w:rPr>
          <w:rFonts w:ascii="Times New Roman" w:hAnsi="Times New Roman" w:cs="Times New Roman"/>
        </w:rPr>
      </w:pPr>
      <w:r w:rsidRPr="00A336DB">
        <w:rPr>
          <w:rFonts w:ascii="Times New Roman" w:hAnsi="Times New Roman" w:cs="Times New Roman"/>
        </w:rPr>
        <w:t>I would like to note a final word of caution. While the predictions and analysis included in this testimony are based on current trends and realities, there is ample scope for error in estimates of demand growth. This is due to uncertainty over new uses for critical minerals, new technological breakthroughs, and of course incentives created by policy and geopolitics.</w:t>
      </w:r>
    </w:p>
    <w:p w14:paraId="28F09CE6" w14:textId="77777777" w:rsidR="00A336DB" w:rsidRDefault="00A336DB" w:rsidP="00A336DB">
      <w:pPr>
        <w:rPr>
          <w:rFonts w:ascii="Times New Roman" w:hAnsi="Times New Roman" w:cs="Times New Roman"/>
        </w:rPr>
      </w:pPr>
    </w:p>
    <w:p w14:paraId="1C3A1348" w14:textId="31BFE4AB" w:rsidR="00A336DB" w:rsidRDefault="00A336DB" w:rsidP="00A336DB">
      <w:pPr>
        <w:rPr>
          <w:rFonts w:ascii="Times New Roman" w:hAnsi="Times New Roman" w:cs="Times New Roman"/>
        </w:rPr>
      </w:pPr>
      <w:r w:rsidRPr="00A336DB">
        <w:rPr>
          <w:rFonts w:ascii="Times New Roman" w:hAnsi="Times New Roman" w:cs="Times New Roman"/>
        </w:rPr>
        <w:t>In the case of some critical minerals, specifically those that have a wide range of applications today across different clean energy technologies, such as copper, chromium, and molybdenum, it is easier to predict growth accurately by extrapolating from current conditions. To quote the World Bank, “This is because these minerals do not depend on the deployment of any one specific technology within the clean energy transition.”</w:t>
      </w:r>
      <w:r>
        <w:rPr>
          <w:rStyle w:val="FootnoteReference"/>
          <w:rFonts w:ascii="Times New Roman" w:hAnsi="Times New Roman" w:cs="Times New Roman"/>
        </w:rPr>
        <w:footnoteReference w:id="11"/>
      </w:r>
      <w:r w:rsidRPr="00A336DB">
        <w:rPr>
          <w:rFonts w:ascii="Times New Roman" w:hAnsi="Times New Roman" w:cs="Times New Roman"/>
        </w:rPr>
        <w:t xml:space="preserve"> However, when it comes to minerals that are used in a more limited number of renewable energy applications such as lithium, graphite, and cobalt, there is greater uncertainty over future demand due to the potential for technological innovation. To give one clear example, battery producers are increasingly looking to manganese as a potential substitute for cobalt given its wider availability and lower price.  </w:t>
      </w:r>
    </w:p>
    <w:p w14:paraId="6788E6E6" w14:textId="77777777" w:rsidR="00A336DB" w:rsidRPr="00A336DB" w:rsidRDefault="00A336DB" w:rsidP="00A336DB">
      <w:pPr>
        <w:rPr>
          <w:rFonts w:ascii="Times New Roman" w:hAnsi="Times New Roman" w:cs="Times New Roman"/>
        </w:rPr>
      </w:pPr>
    </w:p>
    <w:p w14:paraId="4AAB177C" w14:textId="2EC12CEA" w:rsidR="00A336DB" w:rsidRPr="00104026" w:rsidRDefault="00A336DB" w:rsidP="00A336DB">
      <w:pPr>
        <w:rPr>
          <w:rFonts w:ascii="Times New Roman" w:eastAsia="Times New Roman" w:hAnsi="Times New Roman" w:cs="Times New Roman"/>
          <w:color w:val="000000"/>
          <w:bdr w:val="none" w:sz="0" w:space="0" w:color="auto" w:frame="1"/>
        </w:rPr>
      </w:pPr>
      <w:r w:rsidRPr="00A336DB">
        <w:rPr>
          <w:rFonts w:ascii="Times New Roman" w:hAnsi="Times New Roman" w:cs="Times New Roman"/>
        </w:rPr>
        <w:t xml:space="preserve">However, what we can safely argue is that the United States, and </w:t>
      </w:r>
      <w:r>
        <w:rPr>
          <w:rFonts w:ascii="Times New Roman" w:hAnsi="Times New Roman" w:cs="Times New Roman"/>
        </w:rPr>
        <w:t xml:space="preserve">most of the rest of </w:t>
      </w:r>
      <w:r w:rsidRPr="00A336DB">
        <w:rPr>
          <w:rFonts w:ascii="Times New Roman" w:hAnsi="Times New Roman" w:cs="Times New Roman"/>
        </w:rPr>
        <w:t>the world, find themselves spectacularly ill-prepared to meet the challenge of rising demand for critical minerals, and this must be the main take-aways from our current dilemma.</w:t>
      </w:r>
      <w:r>
        <w:rPr>
          <w:rFonts w:ascii="Times New Roman" w:hAnsi="Times New Roman" w:cs="Times New Roman"/>
        </w:rPr>
        <w:t xml:space="preserve"> </w:t>
      </w:r>
      <w:r w:rsidR="00104026">
        <w:rPr>
          <w:rFonts w:ascii="Times New Roman" w:eastAsia="Times New Roman" w:hAnsi="Times New Roman" w:cs="Times New Roman"/>
          <w:color w:val="000000"/>
          <w:bdr w:val="none" w:sz="0" w:space="0" w:color="auto" w:frame="1"/>
        </w:rPr>
        <w:t>To meet the challenges that we have already identified, as well as those that remain unknown at this time, it is vital that we recognize, once and for all, the central and unavoidable role played by critical minerals extraction in the clean energy transition. Mining is needed to power that transition, in the same way that the oil and gas industry was needed to drive the stunning industrial transformation of the world in the 20</w:t>
      </w:r>
      <w:r w:rsidR="00104026" w:rsidRPr="00F15EB4">
        <w:rPr>
          <w:rFonts w:ascii="Times New Roman" w:eastAsia="Times New Roman" w:hAnsi="Times New Roman" w:cs="Times New Roman"/>
          <w:color w:val="000000"/>
          <w:bdr w:val="none" w:sz="0" w:space="0" w:color="auto" w:frame="1"/>
          <w:vertAlign w:val="superscript"/>
        </w:rPr>
        <w:t>th</w:t>
      </w:r>
      <w:r w:rsidR="00104026">
        <w:rPr>
          <w:rFonts w:ascii="Times New Roman" w:eastAsia="Times New Roman" w:hAnsi="Times New Roman" w:cs="Times New Roman"/>
          <w:color w:val="000000"/>
          <w:bdr w:val="none" w:sz="0" w:space="0" w:color="auto" w:frame="1"/>
        </w:rPr>
        <w:t xml:space="preserve"> century. If critical minerals stay in the ground, the transition will be insufficient. </w:t>
      </w:r>
      <w:r>
        <w:rPr>
          <w:rFonts w:ascii="Times New Roman" w:hAnsi="Times New Roman" w:cs="Times New Roman"/>
        </w:rPr>
        <w:t xml:space="preserve">Urgent steps must be taken soon to address the severe deficit in critical minerals. </w:t>
      </w:r>
      <w:r w:rsidR="00104026">
        <w:rPr>
          <w:rFonts w:ascii="Times New Roman" w:hAnsi="Times New Roman" w:cs="Times New Roman"/>
        </w:rPr>
        <w:t>T</w:t>
      </w:r>
      <w:r w:rsidR="0001380D">
        <w:rPr>
          <w:rFonts w:ascii="Times New Roman" w:hAnsi="Times New Roman" w:cs="Times New Roman"/>
        </w:rPr>
        <w:t>o paraphrase an old adage, t</w:t>
      </w:r>
      <w:r>
        <w:rPr>
          <w:rFonts w:ascii="Times New Roman" w:hAnsi="Times New Roman" w:cs="Times New Roman"/>
        </w:rPr>
        <w:t xml:space="preserve">he best time to have done so would have been 10 years ago; the </w:t>
      </w:r>
      <w:r w:rsidR="00805011">
        <w:rPr>
          <w:rFonts w:ascii="Times New Roman" w:hAnsi="Times New Roman" w:cs="Times New Roman"/>
        </w:rPr>
        <w:t>second-best</w:t>
      </w:r>
      <w:r>
        <w:rPr>
          <w:rFonts w:ascii="Times New Roman" w:hAnsi="Times New Roman" w:cs="Times New Roman"/>
        </w:rPr>
        <w:t xml:space="preserve"> time is now.</w:t>
      </w:r>
    </w:p>
    <w:p w14:paraId="7BD89698" w14:textId="5D701B00" w:rsidR="00A336DB" w:rsidRDefault="00A336DB" w:rsidP="00A336DB">
      <w:pPr>
        <w:rPr>
          <w:rFonts w:ascii="Times New Roman" w:eastAsia="Times New Roman" w:hAnsi="Times New Roman" w:cs="Times New Roman"/>
          <w:color w:val="000000"/>
          <w:bdr w:val="none" w:sz="0" w:space="0" w:color="auto" w:frame="1"/>
        </w:rPr>
      </w:pPr>
    </w:p>
    <w:p w14:paraId="427DE640" w14:textId="482F6630" w:rsidR="00A336DB" w:rsidRPr="00A336DB" w:rsidRDefault="00A336DB" w:rsidP="00A336DB">
      <w:pPr>
        <w:rPr>
          <w:rFonts w:ascii="Times New Roman" w:eastAsia="Times New Roman" w:hAnsi="Times New Roman" w:cs="Times New Roman"/>
        </w:rPr>
      </w:pPr>
    </w:p>
    <w:p w14:paraId="629F5446" w14:textId="77777777" w:rsidR="00A336DB" w:rsidRPr="00A336DB" w:rsidRDefault="00A336DB" w:rsidP="00B84F20">
      <w:pPr>
        <w:rPr>
          <w:rFonts w:ascii="Times New Roman" w:hAnsi="Times New Roman" w:cs="Times New Roman"/>
        </w:rPr>
      </w:pPr>
    </w:p>
    <w:p w14:paraId="69D25644" w14:textId="77777777" w:rsidR="00EB3578" w:rsidRPr="00A336DB" w:rsidRDefault="00EB3578" w:rsidP="00B84F20">
      <w:pPr>
        <w:rPr>
          <w:rFonts w:ascii="Times New Roman" w:hAnsi="Times New Roman" w:cs="Times New Roman"/>
        </w:rPr>
      </w:pPr>
    </w:p>
    <w:p w14:paraId="3DE49D9C" w14:textId="3024D55D" w:rsidR="00830F7F" w:rsidRPr="00A336DB" w:rsidRDefault="00830F7F" w:rsidP="00B84F20">
      <w:pPr>
        <w:rPr>
          <w:rFonts w:ascii="Times New Roman" w:hAnsi="Times New Roman" w:cs="Times New Roman"/>
        </w:rPr>
      </w:pPr>
    </w:p>
    <w:p w14:paraId="598AD614" w14:textId="77777777" w:rsidR="00B84F20" w:rsidRPr="00A336DB" w:rsidRDefault="00B84F20" w:rsidP="00B84F20">
      <w:pPr>
        <w:rPr>
          <w:rFonts w:ascii="Times New Roman" w:hAnsi="Times New Roman" w:cs="Times New Roman"/>
        </w:rPr>
      </w:pPr>
    </w:p>
    <w:p w14:paraId="6A76C4B2" w14:textId="6964C763" w:rsidR="00830F7F" w:rsidRPr="00A336DB" w:rsidRDefault="00830F7F" w:rsidP="00B84F20">
      <w:pPr>
        <w:rPr>
          <w:rFonts w:ascii="Times New Roman" w:hAnsi="Times New Roman" w:cs="Times New Roman"/>
        </w:rPr>
      </w:pPr>
    </w:p>
    <w:p w14:paraId="5A42224A" w14:textId="30C8A77E" w:rsidR="00830F7F" w:rsidRPr="00A336DB" w:rsidRDefault="00830F7F" w:rsidP="00B84F20">
      <w:pPr>
        <w:rPr>
          <w:rFonts w:ascii="Times New Roman" w:hAnsi="Times New Roman" w:cs="Times New Roman"/>
        </w:rPr>
      </w:pPr>
    </w:p>
    <w:p w14:paraId="674021ED" w14:textId="77777777" w:rsidR="00B84F20" w:rsidRPr="00A336DB" w:rsidRDefault="00B84F20" w:rsidP="00B84F20">
      <w:pPr>
        <w:rPr>
          <w:rFonts w:ascii="Times New Roman" w:hAnsi="Times New Roman" w:cs="Times New Roman"/>
        </w:rPr>
      </w:pPr>
    </w:p>
    <w:p w14:paraId="0D4C2C7B" w14:textId="77777777" w:rsidR="00830F7F" w:rsidRPr="00A336DB" w:rsidRDefault="00830F7F" w:rsidP="00B84F20">
      <w:pPr>
        <w:rPr>
          <w:rFonts w:ascii="Times New Roman" w:hAnsi="Times New Roman" w:cs="Times New Roman"/>
        </w:rPr>
      </w:pPr>
    </w:p>
    <w:sectPr w:rsidR="00830F7F" w:rsidRPr="00A336D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B14D3" w14:textId="77777777" w:rsidR="004776E2" w:rsidRDefault="004776E2" w:rsidP="00EB3578">
      <w:r>
        <w:separator/>
      </w:r>
    </w:p>
  </w:endnote>
  <w:endnote w:type="continuationSeparator" w:id="0">
    <w:p w14:paraId="3D1BD3C4" w14:textId="77777777" w:rsidR="004776E2" w:rsidRDefault="004776E2" w:rsidP="00EB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0987801"/>
      <w:docPartObj>
        <w:docPartGallery w:val="Page Numbers (Bottom of Page)"/>
        <w:docPartUnique/>
      </w:docPartObj>
    </w:sdtPr>
    <w:sdtEndPr>
      <w:rPr>
        <w:rStyle w:val="PageNumber"/>
      </w:rPr>
    </w:sdtEndPr>
    <w:sdtContent>
      <w:p w14:paraId="76F551D1" w14:textId="7F8D947F" w:rsidR="009E6EAA" w:rsidRDefault="009E6EAA" w:rsidP="007707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FD6415" w14:textId="77777777" w:rsidR="009E6EAA" w:rsidRDefault="009E6EAA" w:rsidP="009E6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5035751"/>
      <w:docPartObj>
        <w:docPartGallery w:val="Page Numbers (Bottom of Page)"/>
        <w:docPartUnique/>
      </w:docPartObj>
    </w:sdtPr>
    <w:sdtEndPr>
      <w:rPr>
        <w:rStyle w:val="PageNumber"/>
      </w:rPr>
    </w:sdtEndPr>
    <w:sdtContent>
      <w:p w14:paraId="1C4D48AB" w14:textId="182C1758" w:rsidR="009E6EAA" w:rsidRDefault="009E6EAA" w:rsidP="007707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F3E964" w14:textId="77777777" w:rsidR="009E6EAA" w:rsidRDefault="009E6EAA" w:rsidP="009E6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8241" w14:textId="77777777" w:rsidR="004776E2" w:rsidRDefault="004776E2" w:rsidP="00EB3578">
      <w:r>
        <w:separator/>
      </w:r>
    </w:p>
  </w:footnote>
  <w:footnote w:type="continuationSeparator" w:id="0">
    <w:p w14:paraId="6A9B8862" w14:textId="77777777" w:rsidR="004776E2" w:rsidRDefault="004776E2" w:rsidP="00EB3578">
      <w:r>
        <w:continuationSeparator/>
      </w:r>
    </w:p>
  </w:footnote>
  <w:footnote w:id="1">
    <w:p w14:paraId="09215BF0" w14:textId="2DEB8CC9" w:rsidR="00A336DB" w:rsidRPr="00A336DB" w:rsidRDefault="00A336DB">
      <w:pPr>
        <w:pStyle w:val="FootnoteText"/>
        <w:rPr>
          <w:rFonts w:ascii="Times New Roman" w:hAnsi="Times New Roman" w:cs="Times New Roman"/>
        </w:rPr>
      </w:pPr>
      <w:r w:rsidRPr="00A336DB">
        <w:rPr>
          <w:rStyle w:val="FootnoteReference"/>
          <w:rFonts w:ascii="Times New Roman" w:hAnsi="Times New Roman" w:cs="Times New Roman"/>
        </w:rPr>
        <w:footnoteRef/>
      </w:r>
      <w:r w:rsidRPr="00A336DB">
        <w:rPr>
          <w:rFonts w:ascii="Times New Roman" w:hAnsi="Times New Roman" w:cs="Times New Roman"/>
        </w:rPr>
        <w:t xml:space="preserve"> https://www.wilsoncenter.org/sites/default/files/media/uploads/documents/critical_minerals_supply_report.pdf</w:t>
      </w:r>
    </w:p>
  </w:footnote>
  <w:footnote w:id="2">
    <w:p w14:paraId="3E5E60B5" w14:textId="688837D2" w:rsidR="00A336DB" w:rsidRPr="00A336DB" w:rsidRDefault="00A336DB" w:rsidP="00A336DB">
      <w:pPr>
        <w:rPr>
          <w:rFonts w:ascii="Times" w:hAnsi="Times" w:cs="Times"/>
          <w:sz w:val="20"/>
          <w:szCs w:val="20"/>
        </w:rPr>
      </w:pPr>
      <w:r>
        <w:rPr>
          <w:rStyle w:val="FootnoteReference"/>
        </w:rPr>
        <w:footnoteRef/>
      </w:r>
      <w:r>
        <w:t xml:space="preserve"> </w:t>
      </w:r>
      <w:r w:rsidRPr="00A336DB">
        <w:rPr>
          <w:rFonts w:ascii="Times" w:hAnsi="Times" w:cs="Times"/>
          <w:sz w:val="20"/>
          <w:szCs w:val="20"/>
        </w:rPr>
        <w:t xml:space="preserve">https://pubdocs.worldbank.org/en/961711588875536384/Minerals-for-Climate-Action-The-Mineral-Intensity-of-the-Clean-Energy-Transition.pdf </w:t>
      </w:r>
    </w:p>
  </w:footnote>
  <w:footnote w:id="3">
    <w:p w14:paraId="123D49A3" w14:textId="7850F00A" w:rsidR="00A336DB" w:rsidRPr="00A336DB" w:rsidRDefault="00A336DB">
      <w:pPr>
        <w:pStyle w:val="FootnoteText"/>
        <w:rPr>
          <w:rFonts w:ascii="Times New Roman" w:hAnsi="Times New Roman" w:cs="Times New Roman"/>
          <w:color w:val="000000" w:themeColor="text1"/>
          <w:sz w:val="16"/>
          <w:szCs w:val="16"/>
        </w:rPr>
      </w:pPr>
      <w:r w:rsidRPr="00A336DB">
        <w:rPr>
          <w:rStyle w:val="FootnoteReference"/>
          <w:rFonts w:ascii="Times New Roman" w:hAnsi="Times New Roman" w:cs="Times New Roman"/>
          <w:color w:val="000000" w:themeColor="text1"/>
          <w:sz w:val="16"/>
          <w:szCs w:val="16"/>
        </w:rPr>
        <w:footnoteRef/>
      </w:r>
      <w:r w:rsidRPr="00A336DB">
        <w:rPr>
          <w:rFonts w:ascii="Times New Roman" w:hAnsi="Times New Roman" w:cs="Times New Roman"/>
          <w:color w:val="000000" w:themeColor="text1"/>
          <w:sz w:val="16"/>
          <w:szCs w:val="16"/>
        </w:rPr>
        <w:t xml:space="preserve"> </w:t>
      </w:r>
      <w:hyperlink r:id="rId1" w:history="1">
        <w:r w:rsidRPr="00A336DB">
          <w:rPr>
            <w:rFonts w:ascii="Times New Roman" w:hAnsi="Times New Roman" w:cs="Times New Roman"/>
          </w:rPr>
          <w:t>https://www.iea.org/reports/the-role-of-critical-minerals-in-clean-energy-transitions</w:t>
        </w:r>
      </w:hyperlink>
      <w:r w:rsidRPr="00A336DB">
        <w:rPr>
          <w:rFonts w:ascii="Times New Roman" w:hAnsi="Times New Roman" w:cs="Times New Roman"/>
          <w:color w:val="000000" w:themeColor="text1"/>
          <w:sz w:val="16"/>
          <w:szCs w:val="16"/>
        </w:rPr>
        <w:t> </w:t>
      </w:r>
    </w:p>
  </w:footnote>
  <w:footnote w:id="4">
    <w:p w14:paraId="7F171EDF" w14:textId="3702B1F2" w:rsidR="00A336DB" w:rsidRPr="00A336DB" w:rsidRDefault="00A336DB">
      <w:pPr>
        <w:pStyle w:val="FootnoteText"/>
        <w:rPr>
          <w:rFonts w:ascii="Times New Roman" w:hAnsi="Times New Roman" w:cs="Times New Roman"/>
        </w:rPr>
      </w:pPr>
      <w:r w:rsidRPr="00A336DB">
        <w:rPr>
          <w:rStyle w:val="FootnoteReference"/>
          <w:rFonts w:ascii="Times New Roman" w:hAnsi="Times New Roman" w:cs="Times New Roman"/>
        </w:rPr>
        <w:footnoteRef/>
      </w:r>
      <w:r w:rsidRPr="00A336DB">
        <w:rPr>
          <w:rFonts w:ascii="Times New Roman" w:hAnsi="Times New Roman" w:cs="Times New Roman"/>
        </w:rPr>
        <w:t xml:space="preserve"> https://www.statista.com/statistics/452025/projected-total-demand-for-lithium-globally/</w:t>
      </w:r>
    </w:p>
  </w:footnote>
  <w:footnote w:id="5">
    <w:p w14:paraId="010F8F14" w14:textId="75708979" w:rsidR="002E4187" w:rsidRDefault="002E4187">
      <w:pPr>
        <w:pStyle w:val="FootnoteText"/>
      </w:pPr>
      <w:r>
        <w:rPr>
          <w:rStyle w:val="FootnoteReference"/>
        </w:rPr>
        <w:footnoteRef/>
      </w:r>
      <w:r>
        <w:t xml:space="preserve"> </w:t>
      </w:r>
      <w:r w:rsidR="00D54F5B" w:rsidRPr="00861C5F">
        <w:rPr>
          <w:rFonts w:ascii="Times New Roman" w:hAnsi="Times New Roman" w:cs="Times New Roman"/>
          <w:i/>
          <w:iCs/>
        </w:rPr>
        <w:t>Securing Critical Mineral Access for America</w:t>
      </w:r>
      <w:r w:rsidR="00D54F5B" w:rsidRPr="00861C5F">
        <w:rPr>
          <w:rFonts w:ascii="Times New Roman" w:hAnsi="Times New Roman" w:cs="Times New Roman"/>
        </w:rPr>
        <w:t>, Georgetown University, McDonough School of Business, February 2022, https://static1.squarespace.com/static/62044a6be422b4487fe49cfa/t/6218b42a6ed0fb71648ee002/1645786170126/Report_+Securing+Critical+Mineral+Access+for+America.pdf</w:t>
      </w:r>
    </w:p>
  </w:footnote>
  <w:footnote w:id="6">
    <w:p w14:paraId="37C5EF8F" w14:textId="40B63751" w:rsidR="00A336DB" w:rsidRDefault="00A336DB" w:rsidP="0001380D">
      <w:pPr>
        <w:pStyle w:val="FootnoteText"/>
      </w:pPr>
      <w:r>
        <w:rPr>
          <w:rStyle w:val="FootnoteReference"/>
        </w:rPr>
        <w:footnoteRef/>
      </w:r>
      <w:r>
        <w:t xml:space="preserve"> </w:t>
      </w:r>
      <w:hyperlink r:id="rId2" w:history="1">
        <w:r w:rsidRPr="00A336DB">
          <w:rPr>
            <w:rStyle w:val="Hyperlink"/>
            <w:rFonts w:ascii="Times New Roman" w:hAnsi="Times New Roman" w:cs="Times New Roman"/>
          </w:rPr>
          <w:t>https://www.wilsoncenter.org/sites/default/files/media/uploads/documents/critical_minerals_supply_report.pdf</w:t>
        </w:r>
      </w:hyperlink>
      <w:r w:rsidRPr="00A336DB">
        <w:rPr>
          <w:rFonts w:ascii="Times New Roman" w:hAnsi="Times New Roman" w:cs="Times New Roman"/>
        </w:rPr>
        <w:t>, p.11</w:t>
      </w:r>
    </w:p>
  </w:footnote>
  <w:footnote w:id="7">
    <w:p w14:paraId="28A86B56" w14:textId="58F189B7" w:rsidR="00A336DB" w:rsidRPr="0001380D" w:rsidRDefault="00A336DB" w:rsidP="0001380D">
      <w:pPr>
        <w:pStyle w:val="Heading1"/>
        <w:shd w:val="clear" w:color="auto" w:fill="FFFFFF"/>
        <w:spacing w:before="0" w:beforeAutospacing="0" w:after="0" w:afterAutospacing="0"/>
        <w:rPr>
          <w:b w:val="0"/>
          <w:bCs w:val="0"/>
          <w:color w:val="0F1111"/>
          <w:sz w:val="20"/>
          <w:szCs w:val="20"/>
        </w:rPr>
      </w:pPr>
      <w:r w:rsidRPr="00A336DB">
        <w:rPr>
          <w:rStyle w:val="FootnoteReference"/>
          <w:b w:val="0"/>
          <w:bCs w:val="0"/>
          <w:sz w:val="20"/>
          <w:szCs w:val="20"/>
        </w:rPr>
        <w:footnoteRef/>
      </w:r>
      <w:r w:rsidRPr="00A336DB">
        <w:rPr>
          <w:b w:val="0"/>
          <w:bCs w:val="0"/>
          <w:sz w:val="20"/>
          <w:szCs w:val="20"/>
        </w:rPr>
        <w:t xml:space="preserve"> </w:t>
      </w:r>
      <w:r>
        <w:rPr>
          <w:b w:val="0"/>
          <w:bCs w:val="0"/>
          <w:sz w:val="20"/>
          <w:szCs w:val="20"/>
        </w:rPr>
        <w:t xml:space="preserve">Guillaume </w:t>
      </w:r>
      <w:proofErr w:type="spellStart"/>
      <w:r>
        <w:rPr>
          <w:b w:val="0"/>
          <w:bCs w:val="0"/>
          <w:sz w:val="20"/>
          <w:szCs w:val="20"/>
        </w:rPr>
        <w:t>Pitron</w:t>
      </w:r>
      <w:proofErr w:type="spellEnd"/>
      <w:r>
        <w:rPr>
          <w:b w:val="0"/>
          <w:bCs w:val="0"/>
          <w:sz w:val="20"/>
          <w:szCs w:val="20"/>
        </w:rPr>
        <w:t>, “</w:t>
      </w:r>
      <w:r w:rsidRPr="00A336DB">
        <w:rPr>
          <w:b w:val="0"/>
          <w:bCs w:val="0"/>
          <w:color w:val="0F1111"/>
          <w:sz w:val="20"/>
          <w:szCs w:val="20"/>
        </w:rPr>
        <w:t>The Rare Metals War: the dark side of clean energy and digital technologies</w:t>
      </w:r>
      <w:r>
        <w:rPr>
          <w:b w:val="0"/>
          <w:bCs w:val="0"/>
          <w:color w:val="0F1111"/>
          <w:sz w:val="20"/>
          <w:szCs w:val="20"/>
        </w:rPr>
        <w:t>”, Scribe, 2020.</w:t>
      </w:r>
    </w:p>
  </w:footnote>
  <w:footnote w:id="8">
    <w:p w14:paraId="2D4DDD0B" w14:textId="77777777" w:rsidR="00A336DB" w:rsidRPr="00A336DB" w:rsidRDefault="00A336DB" w:rsidP="0001380D">
      <w:pPr>
        <w:pStyle w:val="FootnoteText"/>
        <w:rPr>
          <w:rFonts w:ascii="Times New Roman" w:hAnsi="Times New Roman" w:cs="Times New Roman"/>
        </w:rPr>
      </w:pPr>
      <w:r w:rsidRPr="00A336DB">
        <w:rPr>
          <w:rStyle w:val="FootnoteReference"/>
          <w:rFonts w:ascii="Times New Roman" w:hAnsi="Times New Roman" w:cs="Times New Roman"/>
        </w:rPr>
        <w:footnoteRef/>
      </w:r>
      <w:r w:rsidRPr="00A336DB">
        <w:rPr>
          <w:rFonts w:ascii="Times New Roman" w:hAnsi="Times New Roman" w:cs="Times New Roman"/>
        </w:rPr>
        <w:t xml:space="preserve"> https://www.newscientist.com/article/mg24933190-400-why-using-rare-metals-to-clean-up-the-planet-is-no-cheap-fix/</w:t>
      </w:r>
    </w:p>
  </w:footnote>
  <w:footnote w:id="9">
    <w:p w14:paraId="1BC2C5D9" w14:textId="45976702" w:rsidR="00A336DB" w:rsidRPr="00A336DB" w:rsidRDefault="00A336DB" w:rsidP="0001380D">
      <w:pPr>
        <w:pStyle w:val="FootnoteText"/>
        <w:rPr>
          <w:rFonts w:ascii="Times New Roman" w:hAnsi="Times New Roman" w:cs="Times New Roman"/>
        </w:rPr>
      </w:pPr>
      <w:r w:rsidRPr="00A336DB">
        <w:rPr>
          <w:rStyle w:val="FootnoteReference"/>
          <w:rFonts w:ascii="Times New Roman" w:hAnsi="Times New Roman" w:cs="Times New Roman"/>
        </w:rPr>
        <w:footnoteRef/>
      </w:r>
      <w:r w:rsidRPr="00A336DB">
        <w:rPr>
          <w:rFonts w:ascii="Times New Roman" w:hAnsi="Times New Roman" w:cs="Times New Roman"/>
        </w:rPr>
        <w:t xml:space="preserve"> https://www.wilsoncenter.org/article/duncan-wood-testifies-senate-budget-committee-critical-minerals-supply-chain</w:t>
      </w:r>
    </w:p>
  </w:footnote>
  <w:footnote w:id="10">
    <w:p w14:paraId="2C6D5E7C" w14:textId="49E744AD" w:rsidR="0001380D" w:rsidRPr="0001380D" w:rsidRDefault="0001380D">
      <w:pPr>
        <w:pStyle w:val="FootnoteText"/>
        <w:rPr>
          <w:rFonts w:ascii="Times New Roman" w:hAnsi="Times New Roman" w:cs="Times New Roman"/>
        </w:rPr>
      </w:pPr>
      <w:r w:rsidRPr="0001380D">
        <w:rPr>
          <w:rStyle w:val="FootnoteReference"/>
          <w:rFonts w:ascii="Times New Roman" w:hAnsi="Times New Roman" w:cs="Times New Roman"/>
        </w:rPr>
        <w:footnoteRef/>
      </w:r>
      <w:r w:rsidRPr="0001380D">
        <w:rPr>
          <w:rFonts w:ascii="Times New Roman" w:hAnsi="Times New Roman" w:cs="Times New Roman"/>
        </w:rPr>
        <w:t xml:space="preserve"> https://copperalliance.org/resource/copper-recycling/</w:t>
      </w:r>
    </w:p>
  </w:footnote>
  <w:footnote w:id="11">
    <w:p w14:paraId="12431655" w14:textId="77777777" w:rsidR="00A336DB" w:rsidRPr="00A336DB" w:rsidRDefault="00A336DB" w:rsidP="00A336DB">
      <w:pPr>
        <w:rPr>
          <w:rFonts w:ascii="Times New Roman" w:eastAsia="Times New Roman" w:hAnsi="Times New Roman" w:cs="Times New Roman"/>
          <w:sz w:val="20"/>
          <w:szCs w:val="20"/>
        </w:rPr>
      </w:pPr>
      <w:r w:rsidRPr="00A336DB">
        <w:rPr>
          <w:rStyle w:val="FootnoteReference"/>
          <w:rFonts w:ascii="Times New Roman" w:hAnsi="Times New Roman" w:cs="Times New Roman"/>
          <w:sz w:val="20"/>
          <w:szCs w:val="20"/>
        </w:rPr>
        <w:footnoteRef/>
      </w:r>
      <w:r w:rsidRPr="00A336DB">
        <w:rPr>
          <w:rFonts w:ascii="Times New Roman" w:hAnsi="Times New Roman" w:cs="Times New Roman"/>
          <w:sz w:val="20"/>
          <w:szCs w:val="20"/>
        </w:rPr>
        <w:t xml:space="preserve"> </w:t>
      </w:r>
      <w:r w:rsidRPr="00A336DB">
        <w:rPr>
          <w:rFonts w:ascii="Times New Roman" w:eastAsia="Times New Roman" w:hAnsi="Times New Roman" w:cs="Times New Roman"/>
          <w:color w:val="000000"/>
          <w:sz w:val="20"/>
          <w:szCs w:val="20"/>
        </w:rPr>
        <w:t>https://pubdocs.worldbank.org/en/961711588875536384/Minerals-for-Climate-Action-The-Mineral-Intensity-of-the-Clean-Energy-Transition.pdf</w:t>
      </w:r>
    </w:p>
    <w:p w14:paraId="29B4480B" w14:textId="32BC76D3" w:rsidR="00A336DB" w:rsidRDefault="00A336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751B8C"/>
    <w:multiLevelType w:val="hybridMultilevel"/>
    <w:tmpl w:val="E462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E6381"/>
    <w:multiLevelType w:val="multilevel"/>
    <w:tmpl w:val="0F6A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20"/>
    <w:rsid w:val="0001380D"/>
    <w:rsid w:val="00104026"/>
    <w:rsid w:val="0011669F"/>
    <w:rsid w:val="001A7489"/>
    <w:rsid w:val="002E4187"/>
    <w:rsid w:val="0040181B"/>
    <w:rsid w:val="004776E2"/>
    <w:rsid w:val="005508B8"/>
    <w:rsid w:val="006B1CDC"/>
    <w:rsid w:val="006D710A"/>
    <w:rsid w:val="0073383A"/>
    <w:rsid w:val="00805011"/>
    <w:rsid w:val="00830F7F"/>
    <w:rsid w:val="00861C5F"/>
    <w:rsid w:val="009E6EAA"/>
    <w:rsid w:val="00A336DB"/>
    <w:rsid w:val="00AB39B5"/>
    <w:rsid w:val="00B84F20"/>
    <w:rsid w:val="00BB043B"/>
    <w:rsid w:val="00D54F5B"/>
    <w:rsid w:val="00DC4471"/>
    <w:rsid w:val="00DC72AC"/>
    <w:rsid w:val="00E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E1D8"/>
  <w15:chartTrackingRefBased/>
  <w15:docId w15:val="{A8DD9E5B-29C0-E34E-887D-6FD4479F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36D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20"/>
    <w:pPr>
      <w:ind w:left="720"/>
      <w:contextualSpacing/>
    </w:pPr>
  </w:style>
  <w:style w:type="paragraph" w:styleId="FootnoteText">
    <w:name w:val="footnote text"/>
    <w:basedOn w:val="Normal"/>
    <w:link w:val="FootnoteTextChar"/>
    <w:uiPriority w:val="99"/>
    <w:semiHidden/>
    <w:unhideWhenUsed/>
    <w:rsid w:val="00EB3578"/>
    <w:rPr>
      <w:sz w:val="20"/>
      <w:szCs w:val="20"/>
    </w:rPr>
  </w:style>
  <w:style w:type="character" w:customStyle="1" w:styleId="FootnoteTextChar">
    <w:name w:val="Footnote Text Char"/>
    <w:basedOn w:val="DefaultParagraphFont"/>
    <w:link w:val="FootnoteText"/>
    <w:uiPriority w:val="99"/>
    <w:semiHidden/>
    <w:rsid w:val="00EB3578"/>
    <w:rPr>
      <w:sz w:val="20"/>
      <w:szCs w:val="20"/>
    </w:rPr>
  </w:style>
  <w:style w:type="character" w:styleId="FootnoteReference">
    <w:name w:val="footnote reference"/>
    <w:basedOn w:val="DefaultParagraphFont"/>
    <w:uiPriority w:val="99"/>
    <w:semiHidden/>
    <w:unhideWhenUsed/>
    <w:rsid w:val="00EB3578"/>
    <w:rPr>
      <w:vertAlign w:val="superscript"/>
    </w:rPr>
  </w:style>
  <w:style w:type="character" w:styleId="Emphasis">
    <w:name w:val="Emphasis"/>
    <w:basedOn w:val="DefaultParagraphFont"/>
    <w:uiPriority w:val="20"/>
    <w:qFormat/>
    <w:rsid w:val="00A336DB"/>
    <w:rPr>
      <w:i/>
      <w:iCs/>
    </w:rPr>
  </w:style>
  <w:style w:type="paragraph" w:styleId="NormalWeb">
    <w:name w:val="Normal (Web)"/>
    <w:basedOn w:val="Normal"/>
    <w:uiPriority w:val="99"/>
    <w:semiHidden/>
    <w:unhideWhenUsed/>
    <w:rsid w:val="00A336D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336D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A336DB"/>
  </w:style>
  <w:style w:type="character" w:styleId="Hyperlink">
    <w:name w:val="Hyperlink"/>
    <w:basedOn w:val="DefaultParagraphFont"/>
    <w:uiPriority w:val="99"/>
    <w:unhideWhenUsed/>
    <w:rsid w:val="00A336DB"/>
    <w:rPr>
      <w:color w:val="0563C1" w:themeColor="hyperlink"/>
      <w:u w:val="single"/>
    </w:rPr>
  </w:style>
  <w:style w:type="character" w:styleId="UnresolvedMention">
    <w:name w:val="Unresolved Mention"/>
    <w:basedOn w:val="DefaultParagraphFont"/>
    <w:uiPriority w:val="99"/>
    <w:semiHidden/>
    <w:unhideWhenUsed/>
    <w:rsid w:val="00A336DB"/>
    <w:rPr>
      <w:color w:val="605E5C"/>
      <w:shd w:val="clear" w:color="auto" w:fill="E1DFDD"/>
    </w:rPr>
  </w:style>
  <w:style w:type="paragraph" w:styleId="Revision">
    <w:name w:val="Revision"/>
    <w:hidden/>
    <w:uiPriority w:val="99"/>
    <w:semiHidden/>
    <w:rsid w:val="0011669F"/>
  </w:style>
  <w:style w:type="paragraph" w:styleId="Footer">
    <w:name w:val="footer"/>
    <w:basedOn w:val="Normal"/>
    <w:link w:val="FooterChar"/>
    <w:uiPriority w:val="99"/>
    <w:unhideWhenUsed/>
    <w:rsid w:val="009E6EAA"/>
    <w:pPr>
      <w:tabs>
        <w:tab w:val="center" w:pos="4680"/>
        <w:tab w:val="right" w:pos="9360"/>
      </w:tabs>
    </w:pPr>
  </w:style>
  <w:style w:type="character" w:customStyle="1" w:styleId="FooterChar">
    <w:name w:val="Footer Char"/>
    <w:basedOn w:val="DefaultParagraphFont"/>
    <w:link w:val="Footer"/>
    <w:uiPriority w:val="99"/>
    <w:rsid w:val="009E6EAA"/>
  </w:style>
  <w:style w:type="character" w:styleId="PageNumber">
    <w:name w:val="page number"/>
    <w:basedOn w:val="DefaultParagraphFont"/>
    <w:uiPriority w:val="99"/>
    <w:semiHidden/>
    <w:unhideWhenUsed/>
    <w:rsid w:val="009E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5987">
      <w:bodyDiv w:val="1"/>
      <w:marLeft w:val="0"/>
      <w:marRight w:val="0"/>
      <w:marTop w:val="0"/>
      <w:marBottom w:val="0"/>
      <w:divBdr>
        <w:top w:val="none" w:sz="0" w:space="0" w:color="auto"/>
        <w:left w:val="none" w:sz="0" w:space="0" w:color="auto"/>
        <w:bottom w:val="none" w:sz="0" w:space="0" w:color="auto"/>
        <w:right w:val="none" w:sz="0" w:space="0" w:color="auto"/>
      </w:divBdr>
    </w:div>
    <w:div w:id="636109175">
      <w:bodyDiv w:val="1"/>
      <w:marLeft w:val="0"/>
      <w:marRight w:val="0"/>
      <w:marTop w:val="0"/>
      <w:marBottom w:val="0"/>
      <w:divBdr>
        <w:top w:val="none" w:sz="0" w:space="0" w:color="auto"/>
        <w:left w:val="none" w:sz="0" w:space="0" w:color="auto"/>
        <w:bottom w:val="none" w:sz="0" w:space="0" w:color="auto"/>
        <w:right w:val="none" w:sz="0" w:space="0" w:color="auto"/>
      </w:divBdr>
    </w:div>
    <w:div w:id="684477187">
      <w:bodyDiv w:val="1"/>
      <w:marLeft w:val="0"/>
      <w:marRight w:val="0"/>
      <w:marTop w:val="0"/>
      <w:marBottom w:val="0"/>
      <w:divBdr>
        <w:top w:val="none" w:sz="0" w:space="0" w:color="auto"/>
        <w:left w:val="none" w:sz="0" w:space="0" w:color="auto"/>
        <w:bottom w:val="none" w:sz="0" w:space="0" w:color="auto"/>
        <w:right w:val="none" w:sz="0" w:space="0" w:color="auto"/>
      </w:divBdr>
    </w:div>
    <w:div w:id="800003118">
      <w:bodyDiv w:val="1"/>
      <w:marLeft w:val="0"/>
      <w:marRight w:val="0"/>
      <w:marTop w:val="0"/>
      <w:marBottom w:val="0"/>
      <w:divBdr>
        <w:top w:val="none" w:sz="0" w:space="0" w:color="auto"/>
        <w:left w:val="none" w:sz="0" w:space="0" w:color="auto"/>
        <w:bottom w:val="none" w:sz="0" w:space="0" w:color="auto"/>
        <w:right w:val="none" w:sz="0" w:space="0" w:color="auto"/>
      </w:divBdr>
    </w:div>
    <w:div w:id="1206134816">
      <w:bodyDiv w:val="1"/>
      <w:marLeft w:val="0"/>
      <w:marRight w:val="0"/>
      <w:marTop w:val="0"/>
      <w:marBottom w:val="0"/>
      <w:divBdr>
        <w:top w:val="none" w:sz="0" w:space="0" w:color="auto"/>
        <w:left w:val="none" w:sz="0" w:space="0" w:color="auto"/>
        <w:bottom w:val="none" w:sz="0" w:space="0" w:color="auto"/>
        <w:right w:val="none" w:sz="0" w:space="0" w:color="auto"/>
      </w:divBdr>
    </w:div>
    <w:div w:id="1445150981">
      <w:bodyDiv w:val="1"/>
      <w:marLeft w:val="0"/>
      <w:marRight w:val="0"/>
      <w:marTop w:val="0"/>
      <w:marBottom w:val="0"/>
      <w:divBdr>
        <w:top w:val="none" w:sz="0" w:space="0" w:color="auto"/>
        <w:left w:val="none" w:sz="0" w:space="0" w:color="auto"/>
        <w:bottom w:val="none" w:sz="0" w:space="0" w:color="auto"/>
        <w:right w:val="none" w:sz="0" w:space="0" w:color="auto"/>
      </w:divBdr>
    </w:div>
    <w:div w:id="1473257074">
      <w:bodyDiv w:val="1"/>
      <w:marLeft w:val="0"/>
      <w:marRight w:val="0"/>
      <w:marTop w:val="0"/>
      <w:marBottom w:val="0"/>
      <w:divBdr>
        <w:top w:val="none" w:sz="0" w:space="0" w:color="auto"/>
        <w:left w:val="none" w:sz="0" w:space="0" w:color="auto"/>
        <w:bottom w:val="none" w:sz="0" w:space="0" w:color="auto"/>
        <w:right w:val="none" w:sz="0" w:space="0" w:color="auto"/>
      </w:divBdr>
    </w:div>
    <w:div w:id="1988850440">
      <w:bodyDiv w:val="1"/>
      <w:marLeft w:val="0"/>
      <w:marRight w:val="0"/>
      <w:marTop w:val="0"/>
      <w:marBottom w:val="0"/>
      <w:divBdr>
        <w:top w:val="none" w:sz="0" w:space="0" w:color="auto"/>
        <w:left w:val="none" w:sz="0" w:space="0" w:color="auto"/>
        <w:bottom w:val="none" w:sz="0" w:space="0" w:color="auto"/>
        <w:right w:val="none" w:sz="0" w:space="0" w:color="auto"/>
      </w:divBdr>
    </w:div>
    <w:div w:id="21168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wilsoncenter.org/sites/default/files/media/uploads/documents/critical_minerals_supply_report.pdf" TargetMode="External"/><Relationship Id="rId1" Type="http://schemas.openxmlformats.org/officeDocument/2006/relationships/hyperlink" Target="https://www.iea.org/reports/the-role-of-critical-minerals-in-clean-energy-tran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10A5-24C5-474F-B684-B85EB70A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Wood</dc:creator>
  <cp:keywords/>
  <dc:description/>
  <cp:lastModifiedBy>Jorden Jones</cp:lastModifiedBy>
  <cp:revision>2</cp:revision>
  <dcterms:created xsi:type="dcterms:W3CDTF">2022-04-06T15:44:00Z</dcterms:created>
  <dcterms:modified xsi:type="dcterms:W3CDTF">2022-04-06T15:44:00Z</dcterms:modified>
</cp:coreProperties>
</file>